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B2122" w14:textId="58C8F726" w:rsidR="00571731" w:rsidRDefault="00571731" w:rsidP="00453E73">
      <w:pPr>
        <w:spacing w:after="120" w:line="259" w:lineRule="auto"/>
        <w:jc w:val="both"/>
        <w:rPr>
          <w:rFonts w:asciiTheme="minorHAnsi" w:hAnsiTheme="minorHAnsi" w:cstheme="minorHAnsi"/>
          <w:b/>
          <w:bCs/>
          <w:sz w:val="24"/>
          <w:szCs w:val="24"/>
        </w:rPr>
      </w:pPr>
      <w:r w:rsidRPr="00571731">
        <w:rPr>
          <w:rFonts w:asciiTheme="minorHAnsi" w:hAnsiTheme="minorHAnsi" w:cstheme="minorHAnsi"/>
          <w:b/>
          <w:bCs/>
          <w:sz w:val="24"/>
          <w:szCs w:val="24"/>
        </w:rPr>
        <w:t>Mineral Resource</w:t>
      </w:r>
    </w:p>
    <w:p w14:paraId="30BE62E5" w14:textId="68204902" w:rsidR="00511B63" w:rsidRDefault="00511B63" w:rsidP="00453E73">
      <w:pPr>
        <w:spacing w:after="120" w:line="259" w:lineRule="auto"/>
        <w:jc w:val="both"/>
        <w:rPr>
          <w:rFonts w:asciiTheme="minorHAnsi" w:hAnsiTheme="minorHAnsi" w:cstheme="minorHAnsi"/>
          <w:b/>
          <w:bCs/>
          <w:sz w:val="24"/>
          <w:szCs w:val="24"/>
        </w:rPr>
      </w:pPr>
    </w:p>
    <w:p w14:paraId="0DB05011" w14:textId="6B4314CD" w:rsidR="00453E73" w:rsidRPr="001F5D1B" w:rsidRDefault="00453E73" w:rsidP="00453E73">
      <w:pPr>
        <w:spacing w:after="120" w:line="259" w:lineRule="auto"/>
        <w:jc w:val="both"/>
        <w:rPr>
          <w:rFonts w:asciiTheme="minorHAnsi" w:hAnsiTheme="minorHAnsi" w:cstheme="minorHAnsi"/>
          <w:sz w:val="18"/>
          <w:szCs w:val="18"/>
        </w:rPr>
      </w:pPr>
      <w:r w:rsidRPr="001F5D1B">
        <w:rPr>
          <w:rFonts w:asciiTheme="minorHAnsi" w:hAnsiTheme="minorHAnsi" w:cstheme="minorHAnsi"/>
          <w:sz w:val="18"/>
          <w:szCs w:val="18"/>
        </w:rPr>
        <w:t>Table 1:  Total Mineral Resource Estimate for Sandstone Gold Project, March 2022</w:t>
      </w:r>
    </w:p>
    <w:tbl>
      <w:tblPr>
        <w:tblW w:w="4891" w:type="pct"/>
        <w:tblLook w:val="04A0" w:firstRow="1" w:lastRow="0" w:firstColumn="1" w:lastColumn="0" w:noHBand="0" w:noVBand="1"/>
      </w:tblPr>
      <w:tblGrid>
        <w:gridCol w:w="3117"/>
        <w:gridCol w:w="1672"/>
        <w:gridCol w:w="1697"/>
        <w:gridCol w:w="2324"/>
      </w:tblGrid>
      <w:tr w:rsidR="00453E73" w:rsidRPr="00C96541" w14:paraId="4FB63240" w14:textId="77777777" w:rsidTr="00A36A6E">
        <w:trPr>
          <w:trHeight w:val="553"/>
        </w:trPr>
        <w:tc>
          <w:tcPr>
            <w:tcW w:w="5000" w:type="pct"/>
            <w:gridSpan w:val="4"/>
            <w:tcBorders>
              <w:top w:val="single" w:sz="8" w:space="0" w:color="FFFFFF"/>
              <w:left w:val="single" w:sz="8" w:space="0" w:color="FFFFFF"/>
              <w:bottom w:val="nil"/>
              <w:right w:val="single" w:sz="8" w:space="0" w:color="FFFFFF"/>
            </w:tcBorders>
            <w:shd w:val="clear" w:color="auto" w:fill="1F3864" w:themeFill="accent1" w:themeFillShade="80"/>
            <w:noWrap/>
            <w:vAlign w:val="center"/>
          </w:tcPr>
          <w:p w14:paraId="3FFC5E30" w14:textId="77777777" w:rsidR="00453E73" w:rsidRPr="00C96541" w:rsidRDefault="00453E73" w:rsidP="00A36A6E">
            <w:pPr>
              <w:spacing w:after="120" w:line="240" w:lineRule="auto"/>
              <w:contextualSpacing/>
              <w:jc w:val="center"/>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JORC 2012 Mineral Resource Estimate for the Sandstone Gold Project as at March 2022</w:t>
            </w:r>
          </w:p>
        </w:tc>
      </w:tr>
      <w:tr w:rsidR="00453E73" w:rsidRPr="00C96541" w14:paraId="27AB1D85" w14:textId="77777777" w:rsidTr="00A36A6E">
        <w:trPr>
          <w:trHeight w:val="375"/>
        </w:trPr>
        <w:tc>
          <w:tcPr>
            <w:tcW w:w="1769" w:type="pct"/>
            <w:tcBorders>
              <w:top w:val="single" w:sz="8" w:space="0" w:color="FFFFFF"/>
              <w:left w:val="single" w:sz="8" w:space="0" w:color="FFFFFF"/>
              <w:bottom w:val="nil"/>
              <w:right w:val="single" w:sz="8" w:space="0" w:color="FFFFFF"/>
            </w:tcBorders>
            <w:shd w:val="clear" w:color="auto" w:fill="1F3864" w:themeFill="accent1" w:themeFillShade="80"/>
            <w:noWrap/>
            <w:vAlign w:val="center"/>
            <w:hideMark/>
          </w:tcPr>
          <w:p w14:paraId="1BB2A0C9" w14:textId="77777777" w:rsidR="00453E73" w:rsidRPr="00C96541" w:rsidRDefault="00453E73" w:rsidP="00A36A6E">
            <w:pPr>
              <w:spacing w:after="120"/>
              <w:contextualSpacing/>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Classification</w:t>
            </w:r>
          </w:p>
        </w:tc>
        <w:tc>
          <w:tcPr>
            <w:tcW w:w="949" w:type="pct"/>
            <w:tcBorders>
              <w:top w:val="single" w:sz="8" w:space="0" w:color="FFFFFF"/>
              <w:left w:val="nil"/>
              <w:bottom w:val="nil"/>
              <w:right w:val="single" w:sz="8" w:space="0" w:color="FFFFFF"/>
            </w:tcBorders>
            <w:shd w:val="clear" w:color="auto" w:fill="1F3864" w:themeFill="accent1" w:themeFillShade="80"/>
            <w:vAlign w:val="center"/>
            <w:hideMark/>
          </w:tcPr>
          <w:p w14:paraId="2ECF0933"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Tonn</w:t>
            </w:r>
            <w:r>
              <w:rPr>
                <w:rFonts w:asciiTheme="minorHAnsi" w:eastAsia="Times New Roman" w:hAnsiTheme="minorHAnsi" w:cstheme="minorHAnsi"/>
                <w:b/>
                <w:bCs/>
                <w:color w:val="FFFFFF" w:themeColor="background1"/>
                <w:sz w:val="18"/>
                <w:szCs w:val="18"/>
                <w:lang w:eastAsia="zh-CN"/>
              </w:rPr>
              <w:t xml:space="preserve">es </w:t>
            </w:r>
            <w:r w:rsidRPr="00C96541">
              <w:rPr>
                <w:rFonts w:asciiTheme="minorHAnsi" w:eastAsia="Times New Roman" w:hAnsiTheme="minorHAnsi" w:cstheme="minorHAnsi"/>
                <w:b/>
                <w:bCs/>
                <w:color w:val="FFFFFF" w:themeColor="background1"/>
                <w:sz w:val="18"/>
                <w:szCs w:val="18"/>
                <w:lang w:eastAsia="zh-CN"/>
              </w:rPr>
              <w:t>(</w:t>
            </w:r>
            <w:r>
              <w:rPr>
                <w:rFonts w:asciiTheme="minorHAnsi" w:eastAsia="Times New Roman" w:hAnsiTheme="minorHAnsi" w:cstheme="minorHAnsi"/>
                <w:b/>
                <w:bCs/>
                <w:color w:val="FFFFFF" w:themeColor="background1"/>
                <w:sz w:val="18"/>
                <w:szCs w:val="18"/>
                <w:lang w:eastAsia="zh-CN"/>
              </w:rPr>
              <w:t>Mt</w:t>
            </w:r>
            <w:r w:rsidRPr="00C96541">
              <w:rPr>
                <w:rFonts w:asciiTheme="minorHAnsi" w:eastAsia="Times New Roman" w:hAnsiTheme="minorHAnsi" w:cstheme="minorHAnsi"/>
                <w:b/>
                <w:bCs/>
                <w:color w:val="FFFFFF" w:themeColor="background1"/>
                <w:sz w:val="18"/>
                <w:szCs w:val="18"/>
                <w:lang w:eastAsia="zh-CN"/>
              </w:rPr>
              <w:t>)</w:t>
            </w:r>
          </w:p>
        </w:tc>
        <w:tc>
          <w:tcPr>
            <w:tcW w:w="963" w:type="pct"/>
            <w:tcBorders>
              <w:top w:val="single" w:sz="8" w:space="0" w:color="FFFFFF"/>
              <w:left w:val="nil"/>
              <w:bottom w:val="nil"/>
              <w:right w:val="single" w:sz="8" w:space="0" w:color="FFFFFF"/>
            </w:tcBorders>
            <w:shd w:val="clear" w:color="auto" w:fill="1F3864" w:themeFill="accent1" w:themeFillShade="80"/>
            <w:vAlign w:val="center"/>
            <w:hideMark/>
          </w:tcPr>
          <w:p w14:paraId="57A0BC9F"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Grade</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 xml:space="preserve">(g/t </w:t>
            </w:r>
            <w:r>
              <w:rPr>
                <w:rFonts w:asciiTheme="minorHAnsi" w:eastAsia="Times New Roman" w:hAnsiTheme="minorHAnsi" w:cstheme="minorHAnsi"/>
                <w:b/>
                <w:bCs/>
                <w:color w:val="FFFFFF" w:themeColor="background1"/>
                <w:sz w:val="18"/>
                <w:szCs w:val="18"/>
                <w:lang w:eastAsia="zh-CN"/>
              </w:rPr>
              <w:t>gold</w:t>
            </w:r>
            <w:r w:rsidRPr="00C96541">
              <w:rPr>
                <w:rFonts w:asciiTheme="minorHAnsi" w:eastAsia="Times New Roman" w:hAnsiTheme="minorHAnsi" w:cstheme="minorHAnsi"/>
                <w:b/>
                <w:bCs/>
                <w:color w:val="FFFFFF" w:themeColor="background1"/>
                <w:sz w:val="18"/>
                <w:szCs w:val="18"/>
                <w:lang w:eastAsia="zh-CN"/>
              </w:rPr>
              <w:t>)</w:t>
            </w:r>
          </w:p>
        </w:tc>
        <w:tc>
          <w:tcPr>
            <w:tcW w:w="1319" w:type="pct"/>
            <w:tcBorders>
              <w:top w:val="single" w:sz="8" w:space="0" w:color="FFFFFF"/>
              <w:left w:val="nil"/>
              <w:bottom w:val="nil"/>
              <w:right w:val="single" w:sz="8" w:space="0" w:color="FFFFFF"/>
            </w:tcBorders>
            <w:shd w:val="clear" w:color="auto" w:fill="1F3864" w:themeFill="accent1" w:themeFillShade="80"/>
            <w:vAlign w:val="center"/>
            <w:hideMark/>
          </w:tcPr>
          <w:p w14:paraId="4C710A76"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Contained</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gold (</w:t>
            </w:r>
            <w:proofErr w:type="spellStart"/>
            <w:r>
              <w:rPr>
                <w:rFonts w:asciiTheme="minorHAnsi" w:eastAsia="Times New Roman" w:hAnsiTheme="minorHAnsi" w:cstheme="minorHAnsi"/>
                <w:b/>
                <w:bCs/>
                <w:color w:val="FFFFFF" w:themeColor="background1"/>
                <w:sz w:val="18"/>
                <w:szCs w:val="18"/>
                <w:lang w:eastAsia="zh-CN"/>
              </w:rPr>
              <w:t>k</w:t>
            </w:r>
            <w:r w:rsidRPr="00C96541">
              <w:rPr>
                <w:rFonts w:asciiTheme="minorHAnsi" w:eastAsia="Times New Roman" w:hAnsiTheme="minorHAnsi" w:cstheme="minorHAnsi"/>
                <w:b/>
                <w:bCs/>
                <w:color w:val="FFFFFF" w:themeColor="background1"/>
                <w:sz w:val="18"/>
                <w:szCs w:val="18"/>
                <w:lang w:eastAsia="zh-CN"/>
              </w:rPr>
              <w:t>oz</w:t>
            </w:r>
            <w:proofErr w:type="spellEnd"/>
            <w:r w:rsidRPr="00C96541">
              <w:rPr>
                <w:rFonts w:asciiTheme="minorHAnsi" w:eastAsia="Times New Roman" w:hAnsiTheme="minorHAnsi" w:cstheme="minorHAnsi"/>
                <w:b/>
                <w:bCs/>
                <w:color w:val="FFFFFF" w:themeColor="background1"/>
                <w:sz w:val="18"/>
                <w:szCs w:val="18"/>
                <w:lang w:eastAsia="zh-CN"/>
              </w:rPr>
              <w:t>)</w:t>
            </w:r>
          </w:p>
        </w:tc>
      </w:tr>
      <w:tr w:rsidR="00453E73" w:rsidRPr="00394AD4" w14:paraId="7FE76B09" w14:textId="77777777" w:rsidTr="00A36A6E">
        <w:trPr>
          <w:trHeight w:val="340"/>
        </w:trPr>
        <w:tc>
          <w:tcPr>
            <w:tcW w:w="1769" w:type="pct"/>
            <w:tcBorders>
              <w:top w:val="nil"/>
              <w:left w:val="single" w:sz="8" w:space="0" w:color="FFFFFF"/>
              <w:bottom w:val="single" w:sz="8" w:space="0" w:color="FFFFFF"/>
              <w:right w:val="single" w:sz="8" w:space="0" w:color="FFFFFF"/>
            </w:tcBorders>
            <w:shd w:val="clear" w:color="auto" w:fill="auto"/>
            <w:noWrap/>
            <w:vAlign w:val="center"/>
          </w:tcPr>
          <w:p w14:paraId="6A984A2F" w14:textId="77777777" w:rsidR="00453E73" w:rsidRPr="00394AD4" w:rsidRDefault="00453E73" w:rsidP="00A36A6E">
            <w:pPr>
              <w:spacing w:after="120"/>
              <w:contextualSpacing/>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Total Indicated</w:t>
            </w:r>
          </w:p>
        </w:tc>
        <w:tc>
          <w:tcPr>
            <w:tcW w:w="949" w:type="pct"/>
            <w:tcBorders>
              <w:top w:val="nil"/>
              <w:left w:val="nil"/>
              <w:bottom w:val="single" w:sz="8" w:space="0" w:color="FFFFFF"/>
              <w:right w:val="single" w:sz="8" w:space="0" w:color="FFFFFF"/>
            </w:tcBorders>
            <w:shd w:val="clear" w:color="auto" w:fill="auto"/>
            <w:noWrap/>
            <w:vAlign w:val="center"/>
          </w:tcPr>
          <w:p w14:paraId="6F62E93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3.0</w:t>
            </w:r>
          </w:p>
        </w:tc>
        <w:tc>
          <w:tcPr>
            <w:tcW w:w="963" w:type="pct"/>
            <w:tcBorders>
              <w:top w:val="nil"/>
              <w:left w:val="nil"/>
              <w:bottom w:val="single" w:sz="8" w:space="0" w:color="FFFFFF"/>
              <w:right w:val="single" w:sz="8" w:space="0" w:color="FFFFFF"/>
            </w:tcBorders>
            <w:shd w:val="clear" w:color="auto" w:fill="auto"/>
            <w:noWrap/>
            <w:vAlign w:val="center"/>
          </w:tcPr>
          <w:p w14:paraId="409A5573"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sidRPr="00C96541">
              <w:rPr>
                <w:rFonts w:asciiTheme="minorHAnsi" w:eastAsia="Times New Roman" w:hAnsiTheme="minorHAnsi" w:cstheme="minorHAnsi"/>
                <w:color w:val="000000"/>
                <w:sz w:val="18"/>
                <w:szCs w:val="18"/>
                <w:lang w:eastAsia="zh-CN"/>
              </w:rPr>
              <w:t>1.</w:t>
            </w:r>
            <w:r>
              <w:rPr>
                <w:rFonts w:asciiTheme="minorHAnsi" w:eastAsia="Times New Roman" w:hAnsiTheme="minorHAnsi" w:cstheme="minorHAnsi"/>
                <w:color w:val="000000"/>
                <w:sz w:val="18"/>
                <w:szCs w:val="18"/>
                <w:lang w:eastAsia="zh-CN"/>
              </w:rPr>
              <w:t>7</w:t>
            </w:r>
          </w:p>
        </w:tc>
        <w:tc>
          <w:tcPr>
            <w:tcW w:w="1319" w:type="pct"/>
            <w:tcBorders>
              <w:top w:val="nil"/>
              <w:left w:val="nil"/>
              <w:bottom w:val="single" w:sz="8" w:space="0" w:color="FFFFFF"/>
              <w:right w:val="single" w:sz="8" w:space="0" w:color="FFFFFF"/>
            </w:tcBorders>
            <w:shd w:val="clear" w:color="auto" w:fill="auto"/>
            <w:vAlign w:val="center"/>
          </w:tcPr>
          <w:p w14:paraId="7BCCEE85"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159</w:t>
            </w:r>
          </w:p>
        </w:tc>
      </w:tr>
      <w:tr w:rsidR="00453E73" w:rsidRPr="00394AD4" w14:paraId="6560D5D3" w14:textId="77777777" w:rsidTr="00A36A6E">
        <w:trPr>
          <w:trHeight w:val="340"/>
        </w:trPr>
        <w:tc>
          <w:tcPr>
            <w:tcW w:w="1769" w:type="pct"/>
            <w:tcBorders>
              <w:top w:val="nil"/>
              <w:left w:val="single" w:sz="8" w:space="0" w:color="FFFFFF"/>
              <w:bottom w:val="single" w:sz="8" w:space="0" w:color="FFFFFF"/>
              <w:right w:val="single" w:sz="8" w:space="0" w:color="FFFFFF"/>
            </w:tcBorders>
            <w:shd w:val="clear" w:color="auto" w:fill="auto"/>
            <w:vAlign w:val="center"/>
            <w:hideMark/>
          </w:tcPr>
          <w:p w14:paraId="6C0228E2" w14:textId="77777777" w:rsidR="00453E73" w:rsidRPr="00C96541" w:rsidRDefault="00453E73" w:rsidP="00A36A6E">
            <w:pPr>
              <w:spacing w:after="120"/>
              <w:contextualSpacing/>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Total Inferred</w:t>
            </w:r>
          </w:p>
        </w:tc>
        <w:tc>
          <w:tcPr>
            <w:tcW w:w="949" w:type="pct"/>
            <w:tcBorders>
              <w:top w:val="nil"/>
              <w:left w:val="nil"/>
              <w:bottom w:val="single" w:sz="8" w:space="0" w:color="FFFFFF"/>
              <w:right w:val="single" w:sz="8" w:space="0" w:color="FFFFFF"/>
            </w:tcBorders>
            <w:shd w:val="clear" w:color="auto" w:fill="auto"/>
            <w:noWrap/>
            <w:vAlign w:val="center"/>
            <w:hideMark/>
          </w:tcPr>
          <w:p w14:paraId="29E7669B"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9.4</w:t>
            </w:r>
          </w:p>
        </w:tc>
        <w:tc>
          <w:tcPr>
            <w:tcW w:w="963" w:type="pct"/>
            <w:tcBorders>
              <w:top w:val="nil"/>
              <w:left w:val="nil"/>
              <w:bottom w:val="single" w:sz="8" w:space="0" w:color="FFFFFF"/>
              <w:right w:val="single" w:sz="8" w:space="0" w:color="FFFFFF"/>
            </w:tcBorders>
            <w:shd w:val="clear" w:color="auto" w:fill="auto"/>
            <w:noWrap/>
            <w:vAlign w:val="center"/>
            <w:hideMark/>
          </w:tcPr>
          <w:p w14:paraId="2D580F91"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sidRPr="00C96541">
              <w:rPr>
                <w:rFonts w:asciiTheme="minorHAnsi" w:eastAsia="Times New Roman" w:hAnsiTheme="minorHAnsi" w:cstheme="minorHAnsi"/>
                <w:color w:val="000000"/>
                <w:sz w:val="18"/>
                <w:szCs w:val="18"/>
                <w:lang w:eastAsia="zh-CN"/>
              </w:rPr>
              <w:t>1.</w:t>
            </w:r>
            <w:r>
              <w:rPr>
                <w:rFonts w:asciiTheme="minorHAnsi" w:eastAsia="Times New Roman" w:hAnsiTheme="minorHAnsi" w:cstheme="minorHAnsi"/>
                <w:color w:val="000000"/>
                <w:sz w:val="18"/>
                <w:szCs w:val="18"/>
                <w:lang w:eastAsia="zh-CN"/>
              </w:rPr>
              <w:t>6</w:t>
            </w:r>
          </w:p>
        </w:tc>
        <w:tc>
          <w:tcPr>
            <w:tcW w:w="1319" w:type="pct"/>
            <w:tcBorders>
              <w:top w:val="nil"/>
              <w:left w:val="nil"/>
              <w:bottom w:val="single" w:sz="8" w:space="0" w:color="FFFFFF"/>
              <w:right w:val="single" w:sz="8" w:space="0" w:color="FFFFFF"/>
            </w:tcBorders>
            <w:shd w:val="clear" w:color="auto" w:fill="auto"/>
            <w:vAlign w:val="center"/>
            <w:hideMark/>
          </w:tcPr>
          <w:p w14:paraId="2659FD8D"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476</w:t>
            </w:r>
          </w:p>
        </w:tc>
      </w:tr>
      <w:tr w:rsidR="00453E73" w:rsidRPr="00394AD4" w14:paraId="36852F98" w14:textId="77777777" w:rsidTr="00A36A6E">
        <w:trPr>
          <w:trHeight w:val="340"/>
        </w:trPr>
        <w:tc>
          <w:tcPr>
            <w:tcW w:w="1769" w:type="pct"/>
            <w:tcBorders>
              <w:top w:val="nil"/>
              <w:left w:val="single" w:sz="8" w:space="0" w:color="FFFFFF"/>
              <w:bottom w:val="single" w:sz="8" w:space="0" w:color="FFFFFF"/>
              <w:right w:val="single" w:sz="8" w:space="0" w:color="FFFFFF"/>
            </w:tcBorders>
            <w:shd w:val="clear" w:color="auto" w:fill="F2F2F2"/>
            <w:noWrap/>
            <w:vAlign w:val="center"/>
            <w:hideMark/>
          </w:tcPr>
          <w:p w14:paraId="4EF7E40E" w14:textId="77777777" w:rsidR="00453E73" w:rsidRPr="00C96541" w:rsidRDefault="00453E73" w:rsidP="00A36A6E">
            <w:pPr>
              <w:spacing w:after="120"/>
              <w:contextualSpacing/>
              <w:rPr>
                <w:rFonts w:asciiTheme="minorHAnsi" w:eastAsia="Times New Roman" w:hAnsiTheme="minorHAnsi" w:cstheme="minorHAnsi"/>
                <w:b/>
                <w:bCs/>
                <w:color w:val="000000"/>
                <w:sz w:val="18"/>
                <w:szCs w:val="18"/>
                <w:lang w:eastAsia="en-AU" w:bidi="en-AU"/>
              </w:rPr>
            </w:pPr>
            <w:r w:rsidRPr="00C96541">
              <w:rPr>
                <w:rFonts w:asciiTheme="minorHAnsi" w:eastAsia="Times New Roman" w:hAnsiTheme="minorHAnsi" w:cstheme="minorHAnsi"/>
                <w:b/>
                <w:bCs/>
                <w:color w:val="000000"/>
                <w:sz w:val="18"/>
                <w:szCs w:val="18"/>
                <w:lang w:eastAsia="en-AU" w:bidi="en-AU"/>
              </w:rPr>
              <w:t xml:space="preserve">TOTAL </w:t>
            </w:r>
          </w:p>
        </w:tc>
        <w:tc>
          <w:tcPr>
            <w:tcW w:w="949" w:type="pct"/>
            <w:tcBorders>
              <w:top w:val="nil"/>
              <w:left w:val="nil"/>
              <w:bottom w:val="single" w:sz="8" w:space="0" w:color="FFFFFF"/>
              <w:right w:val="single" w:sz="8" w:space="0" w:color="FFFFFF"/>
            </w:tcBorders>
            <w:shd w:val="clear" w:color="auto" w:fill="F2F2F2"/>
            <w:noWrap/>
            <w:vAlign w:val="center"/>
            <w:hideMark/>
          </w:tcPr>
          <w:p w14:paraId="16F4D637"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12.4</w:t>
            </w:r>
          </w:p>
        </w:tc>
        <w:tc>
          <w:tcPr>
            <w:tcW w:w="963" w:type="pct"/>
            <w:tcBorders>
              <w:top w:val="nil"/>
              <w:left w:val="nil"/>
              <w:bottom w:val="single" w:sz="8" w:space="0" w:color="FFFFFF"/>
              <w:right w:val="single" w:sz="8" w:space="0" w:color="FFFFFF"/>
            </w:tcBorders>
            <w:shd w:val="clear" w:color="auto" w:fill="F2F2F2"/>
            <w:noWrap/>
            <w:vAlign w:val="center"/>
            <w:hideMark/>
          </w:tcPr>
          <w:p w14:paraId="49CAA963"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sidRPr="00C96541">
              <w:rPr>
                <w:rFonts w:asciiTheme="minorHAnsi" w:eastAsia="Times New Roman" w:hAnsiTheme="minorHAnsi" w:cstheme="minorHAnsi"/>
                <w:b/>
                <w:bCs/>
                <w:color w:val="000000"/>
                <w:sz w:val="18"/>
                <w:szCs w:val="18"/>
                <w:lang w:eastAsia="en-AU" w:bidi="en-AU"/>
              </w:rPr>
              <w:t>1.</w:t>
            </w:r>
            <w:r>
              <w:rPr>
                <w:rFonts w:asciiTheme="minorHAnsi" w:eastAsia="Times New Roman" w:hAnsiTheme="minorHAnsi" w:cstheme="minorHAnsi"/>
                <w:b/>
                <w:bCs/>
                <w:color w:val="000000"/>
                <w:sz w:val="18"/>
                <w:szCs w:val="18"/>
                <w:lang w:eastAsia="en-AU" w:bidi="en-AU"/>
              </w:rPr>
              <w:t>6</w:t>
            </w:r>
          </w:p>
        </w:tc>
        <w:tc>
          <w:tcPr>
            <w:tcW w:w="1319" w:type="pct"/>
            <w:tcBorders>
              <w:top w:val="nil"/>
              <w:left w:val="nil"/>
              <w:bottom w:val="single" w:sz="8" w:space="0" w:color="FFFFFF"/>
              <w:right w:val="single" w:sz="8" w:space="0" w:color="FFFFFF"/>
            </w:tcBorders>
            <w:shd w:val="clear" w:color="auto" w:fill="F2F2F2"/>
            <w:vAlign w:val="center"/>
            <w:hideMark/>
          </w:tcPr>
          <w:p w14:paraId="7ED117A6"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635</w:t>
            </w:r>
          </w:p>
        </w:tc>
      </w:tr>
    </w:tbl>
    <w:p w14:paraId="2E7FB076" w14:textId="77777777" w:rsidR="00453E73" w:rsidRPr="00BE6E67" w:rsidRDefault="00453E73" w:rsidP="00453E73">
      <w:pPr>
        <w:tabs>
          <w:tab w:val="left" w:pos="142"/>
        </w:tabs>
        <w:spacing w:before="120" w:after="120" w:line="240" w:lineRule="auto"/>
        <w:jc w:val="both"/>
        <w:rPr>
          <w:rFonts w:eastAsia="Times New Roman"/>
          <w:sz w:val="16"/>
          <w:szCs w:val="16"/>
        </w:rPr>
      </w:pPr>
      <w:r>
        <w:rPr>
          <w:rFonts w:eastAsia="Times New Roman"/>
          <w:sz w:val="16"/>
          <w:szCs w:val="16"/>
        </w:rPr>
        <w:t xml:space="preserve">Updated </w:t>
      </w:r>
      <w:r w:rsidRPr="00DB4FAD">
        <w:rPr>
          <w:rFonts w:eastAsia="Times New Roman"/>
          <w:sz w:val="16"/>
          <w:szCs w:val="16"/>
        </w:rPr>
        <w:t>Mineral Resources reported at a cut-off grade of 0.5 g/t gold</w:t>
      </w:r>
      <w:r>
        <w:rPr>
          <w:rFonts w:eastAsia="Times New Roman"/>
          <w:sz w:val="16"/>
          <w:szCs w:val="16"/>
        </w:rPr>
        <w:t xml:space="preserve">.  Mineral Resources for </w:t>
      </w:r>
      <w:r w:rsidRPr="00DB4FAD">
        <w:rPr>
          <w:rFonts w:eastAsia="Times New Roman"/>
          <w:sz w:val="16"/>
          <w:szCs w:val="16"/>
        </w:rPr>
        <w:t>Indomitable</w:t>
      </w:r>
      <w:r>
        <w:rPr>
          <w:rFonts w:eastAsia="Times New Roman"/>
          <w:sz w:val="16"/>
          <w:szCs w:val="16"/>
        </w:rPr>
        <w:t xml:space="preserve"> are reported at a cut-off grade of 0.3 g/t</w:t>
      </w:r>
      <w:r w:rsidRPr="00DB4FAD">
        <w:rPr>
          <w:rFonts w:eastAsia="Times New Roman"/>
          <w:sz w:val="16"/>
          <w:szCs w:val="16"/>
        </w:rPr>
        <w:t xml:space="preserve"> </w:t>
      </w:r>
      <w:r>
        <w:rPr>
          <w:rFonts w:eastAsia="Times New Roman"/>
          <w:sz w:val="16"/>
          <w:szCs w:val="16"/>
        </w:rPr>
        <w:t xml:space="preserve">gold.  </w:t>
      </w:r>
      <w:r w:rsidRPr="00BE6E67">
        <w:rPr>
          <w:rFonts w:eastAsia="Times New Roman"/>
          <w:sz w:val="16"/>
          <w:szCs w:val="16"/>
        </w:rPr>
        <w:t xml:space="preserve">Minor discrepancies may occur due to rounding of appropriate significant figures. </w:t>
      </w:r>
    </w:p>
    <w:p w14:paraId="73A17B53" w14:textId="77777777" w:rsidR="00453E73" w:rsidRDefault="00453E73" w:rsidP="00453E73">
      <w:pPr>
        <w:spacing w:after="120" w:line="259" w:lineRule="auto"/>
        <w:jc w:val="both"/>
        <w:rPr>
          <w:rFonts w:asciiTheme="minorHAnsi" w:hAnsiTheme="minorHAnsi" w:cstheme="minorHAnsi"/>
          <w:sz w:val="20"/>
          <w:szCs w:val="20"/>
        </w:rPr>
      </w:pPr>
    </w:p>
    <w:p w14:paraId="150524E7" w14:textId="77777777" w:rsidR="00453E73" w:rsidRPr="001F5D1B" w:rsidRDefault="00453E73" w:rsidP="00453E73">
      <w:pPr>
        <w:spacing w:after="120" w:line="259" w:lineRule="auto"/>
        <w:jc w:val="both"/>
        <w:rPr>
          <w:rFonts w:asciiTheme="minorHAnsi" w:hAnsiTheme="minorHAnsi" w:cstheme="minorHAnsi"/>
          <w:sz w:val="18"/>
          <w:szCs w:val="18"/>
        </w:rPr>
      </w:pPr>
      <w:r w:rsidRPr="001F5D1B">
        <w:rPr>
          <w:rFonts w:asciiTheme="minorHAnsi" w:hAnsiTheme="minorHAnsi" w:cstheme="minorHAnsi"/>
          <w:sz w:val="18"/>
          <w:szCs w:val="18"/>
        </w:rPr>
        <w:t>Table 2:  Total Mineral Resource Estimate for Sandstone Gold Project, March 2022 (by deposit)</w:t>
      </w:r>
    </w:p>
    <w:tbl>
      <w:tblPr>
        <w:tblW w:w="4891" w:type="pct"/>
        <w:tblLook w:val="04A0" w:firstRow="1" w:lastRow="0" w:firstColumn="1" w:lastColumn="0" w:noHBand="0" w:noVBand="1"/>
      </w:tblPr>
      <w:tblGrid>
        <w:gridCol w:w="1483"/>
        <w:gridCol w:w="860"/>
        <w:gridCol w:w="671"/>
        <w:gridCol w:w="792"/>
        <w:gridCol w:w="860"/>
        <w:gridCol w:w="790"/>
        <w:gridCol w:w="790"/>
        <w:gridCol w:w="860"/>
        <w:gridCol w:w="786"/>
        <w:gridCol w:w="918"/>
      </w:tblGrid>
      <w:tr w:rsidR="00453E73" w:rsidRPr="00C96541" w14:paraId="76E43ACE" w14:textId="77777777" w:rsidTr="00A36A6E">
        <w:trPr>
          <w:trHeight w:val="375"/>
        </w:trPr>
        <w:tc>
          <w:tcPr>
            <w:tcW w:w="861" w:type="pct"/>
            <w:tcBorders>
              <w:top w:val="single" w:sz="8" w:space="0" w:color="FFFFFF"/>
              <w:left w:val="single" w:sz="8" w:space="0" w:color="FFFFFF"/>
              <w:bottom w:val="nil"/>
              <w:right w:val="single" w:sz="8" w:space="0" w:color="FFFFFF"/>
            </w:tcBorders>
            <w:shd w:val="clear" w:color="auto" w:fill="1F3864" w:themeFill="accent1" w:themeFillShade="80"/>
            <w:noWrap/>
            <w:vAlign w:val="center"/>
            <w:hideMark/>
          </w:tcPr>
          <w:p w14:paraId="01656E3D" w14:textId="77777777" w:rsidR="00453E73" w:rsidRPr="00C96541" w:rsidRDefault="00453E73" w:rsidP="00A36A6E">
            <w:pPr>
              <w:spacing w:after="120"/>
              <w:contextualSpacing/>
              <w:rPr>
                <w:rFonts w:asciiTheme="minorHAnsi" w:eastAsia="Times New Roman" w:hAnsiTheme="minorHAnsi" w:cstheme="minorHAnsi"/>
                <w:b/>
                <w:bCs/>
                <w:color w:val="FFFFFF" w:themeColor="background1"/>
                <w:sz w:val="18"/>
                <w:szCs w:val="18"/>
                <w:lang w:eastAsia="zh-CN"/>
              </w:rPr>
            </w:pPr>
          </w:p>
        </w:tc>
        <w:tc>
          <w:tcPr>
            <w:tcW w:w="1270" w:type="pct"/>
            <w:gridSpan w:val="3"/>
            <w:tcBorders>
              <w:top w:val="single" w:sz="8" w:space="0" w:color="FFFFFF"/>
              <w:left w:val="nil"/>
              <w:bottom w:val="nil"/>
              <w:right w:val="single" w:sz="8" w:space="0" w:color="FFFFFF"/>
            </w:tcBorders>
            <w:shd w:val="clear" w:color="auto" w:fill="1F3864" w:themeFill="accent1" w:themeFillShade="80"/>
            <w:vAlign w:val="center"/>
          </w:tcPr>
          <w:p w14:paraId="2B42D61B"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Indicated</w:t>
            </w:r>
          </w:p>
        </w:tc>
        <w:tc>
          <w:tcPr>
            <w:tcW w:w="1398" w:type="pct"/>
            <w:gridSpan w:val="3"/>
            <w:tcBorders>
              <w:top w:val="single" w:sz="8" w:space="0" w:color="FFFFFF"/>
              <w:left w:val="nil"/>
              <w:bottom w:val="nil"/>
              <w:right w:val="single" w:sz="8" w:space="0" w:color="FFFFFF"/>
            </w:tcBorders>
            <w:shd w:val="clear" w:color="auto" w:fill="1F3864" w:themeFill="accent1" w:themeFillShade="80"/>
            <w:vAlign w:val="center"/>
          </w:tcPr>
          <w:p w14:paraId="3E1C8946"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Inferred</w:t>
            </w:r>
          </w:p>
        </w:tc>
        <w:tc>
          <w:tcPr>
            <w:tcW w:w="1471" w:type="pct"/>
            <w:gridSpan w:val="3"/>
            <w:tcBorders>
              <w:top w:val="single" w:sz="8" w:space="0" w:color="FFFFFF"/>
              <w:left w:val="nil"/>
              <w:bottom w:val="nil"/>
              <w:right w:val="single" w:sz="8" w:space="0" w:color="FFFFFF"/>
            </w:tcBorders>
            <w:shd w:val="clear" w:color="auto" w:fill="1F3864" w:themeFill="accent1" w:themeFillShade="80"/>
            <w:vAlign w:val="center"/>
          </w:tcPr>
          <w:p w14:paraId="67CB2200"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Total</w:t>
            </w:r>
          </w:p>
        </w:tc>
      </w:tr>
      <w:tr w:rsidR="00453E73" w:rsidRPr="00C96541" w14:paraId="6BFE2D8F" w14:textId="77777777" w:rsidTr="00A36A6E">
        <w:trPr>
          <w:trHeight w:val="375"/>
        </w:trPr>
        <w:tc>
          <w:tcPr>
            <w:tcW w:w="861" w:type="pct"/>
            <w:tcBorders>
              <w:top w:val="single" w:sz="8" w:space="0" w:color="FFFFFF"/>
              <w:left w:val="single" w:sz="8" w:space="0" w:color="FFFFFF"/>
              <w:bottom w:val="nil"/>
              <w:right w:val="single" w:sz="8" w:space="0" w:color="FFFFFF"/>
            </w:tcBorders>
            <w:shd w:val="clear" w:color="auto" w:fill="1F3864" w:themeFill="accent1" w:themeFillShade="80"/>
            <w:noWrap/>
            <w:vAlign w:val="center"/>
            <w:hideMark/>
          </w:tcPr>
          <w:p w14:paraId="2CB0E4C0" w14:textId="77777777" w:rsidR="00453E73" w:rsidRPr="00C96541" w:rsidRDefault="00453E73" w:rsidP="00A36A6E">
            <w:pPr>
              <w:spacing w:after="120"/>
              <w:contextualSpacing/>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Deposit</w:t>
            </w:r>
          </w:p>
        </w:tc>
        <w:tc>
          <w:tcPr>
            <w:tcW w:w="451" w:type="pct"/>
            <w:tcBorders>
              <w:top w:val="single" w:sz="8" w:space="0" w:color="FFFFFF"/>
              <w:left w:val="nil"/>
              <w:bottom w:val="nil"/>
              <w:right w:val="single" w:sz="8" w:space="0" w:color="FFFFFF"/>
            </w:tcBorders>
            <w:shd w:val="clear" w:color="auto" w:fill="1F3864" w:themeFill="accent1" w:themeFillShade="80"/>
            <w:vAlign w:val="center"/>
            <w:hideMark/>
          </w:tcPr>
          <w:p w14:paraId="19447397"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Tonnage</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w:t>
            </w:r>
            <w:r>
              <w:rPr>
                <w:rFonts w:asciiTheme="minorHAnsi" w:eastAsia="Times New Roman" w:hAnsiTheme="minorHAnsi" w:cstheme="minorHAnsi"/>
                <w:b/>
                <w:bCs/>
                <w:color w:val="FFFFFF" w:themeColor="background1"/>
                <w:sz w:val="18"/>
                <w:szCs w:val="18"/>
                <w:lang w:eastAsia="zh-CN"/>
              </w:rPr>
              <w:t>M</w:t>
            </w:r>
            <w:r w:rsidRPr="00C96541">
              <w:rPr>
                <w:rFonts w:asciiTheme="minorHAnsi" w:eastAsia="Times New Roman" w:hAnsiTheme="minorHAnsi" w:cstheme="minorHAnsi"/>
                <w:b/>
                <w:bCs/>
                <w:color w:val="FFFFFF" w:themeColor="background1"/>
                <w:sz w:val="18"/>
                <w:szCs w:val="18"/>
                <w:lang w:eastAsia="zh-CN"/>
              </w:rPr>
              <w:t>t)</w:t>
            </w:r>
          </w:p>
        </w:tc>
        <w:tc>
          <w:tcPr>
            <w:tcW w:w="351" w:type="pct"/>
            <w:tcBorders>
              <w:top w:val="single" w:sz="8" w:space="0" w:color="FFFFFF"/>
              <w:left w:val="nil"/>
              <w:bottom w:val="nil"/>
              <w:right w:val="single" w:sz="8" w:space="0" w:color="FFFFFF"/>
            </w:tcBorders>
            <w:shd w:val="clear" w:color="auto" w:fill="1F3864" w:themeFill="accent1" w:themeFillShade="80"/>
            <w:vAlign w:val="center"/>
            <w:hideMark/>
          </w:tcPr>
          <w:p w14:paraId="72133986"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Grade</w:t>
            </w:r>
            <w:r>
              <w:rPr>
                <w:rFonts w:asciiTheme="minorHAnsi" w:eastAsia="Times New Roman" w:hAnsiTheme="minorHAnsi" w:cstheme="minorHAnsi"/>
                <w:b/>
                <w:bCs/>
                <w:color w:val="FFFFFF" w:themeColor="background1"/>
                <w:sz w:val="18"/>
                <w:szCs w:val="18"/>
                <w:lang w:eastAsia="zh-CN"/>
              </w:rPr>
              <w:t xml:space="preserve"> g/t</w:t>
            </w:r>
          </w:p>
        </w:tc>
        <w:tc>
          <w:tcPr>
            <w:tcW w:w="468" w:type="pct"/>
            <w:tcBorders>
              <w:top w:val="single" w:sz="8" w:space="0" w:color="FFFFFF"/>
              <w:left w:val="nil"/>
              <w:bottom w:val="nil"/>
              <w:right w:val="single" w:sz="8" w:space="0" w:color="FFFFFF"/>
            </w:tcBorders>
            <w:shd w:val="clear" w:color="auto" w:fill="1F3864" w:themeFill="accent1" w:themeFillShade="80"/>
            <w:vAlign w:val="center"/>
            <w:hideMark/>
          </w:tcPr>
          <w:p w14:paraId="6692C96E"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G</w:t>
            </w:r>
            <w:r w:rsidRPr="00C96541">
              <w:rPr>
                <w:rFonts w:asciiTheme="minorHAnsi" w:eastAsia="Times New Roman" w:hAnsiTheme="minorHAnsi" w:cstheme="minorHAnsi"/>
                <w:b/>
                <w:bCs/>
                <w:color w:val="FFFFFF" w:themeColor="background1"/>
                <w:sz w:val="18"/>
                <w:szCs w:val="18"/>
                <w:lang w:eastAsia="zh-CN"/>
              </w:rPr>
              <w:t xml:space="preserve">old </w:t>
            </w:r>
            <w:r>
              <w:rPr>
                <w:rFonts w:asciiTheme="minorHAnsi" w:eastAsia="Times New Roman" w:hAnsiTheme="minorHAnsi" w:cstheme="minorHAnsi"/>
                <w:b/>
                <w:bCs/>
                <w:color w:val="FFFFFF" w:themeColor="background1"/>
                <w:sz w:val="18"/>
                <w:szCs w:val="18"/>
                <w:lang w:eastAsia="zh-CN"/>
              </w:rPr>
              <w:br/>
            </w:r>
            <w:r w:rsidRPr="00C96541">
              <w:rPr>
                <w:rFonts w:asciiTheme="minorHAnsi" w:eastAsia="Times New Roman" w:hAnsiTheme="minorHAnsi" w:cstheme="minorHAnsi"/>
                <w:b/>
                <w:bCs/>
                <w:color w:val="FFFFFF" w:themeColor="background1"/>
                <w:sz w:val="18"/>
                <w:szCs w:val="18"/>
                <w:lang w:eastAsia="zh-CN"/>
              </w:rPr>
              <w:t>(</w:t>
            </w:r>
            <w:proofErr w:type="spellStart"/>
            <w:r>
              <w:rPr>
                <w:rFonts w:asciiTheme="minorHAnsi" w:eastAsia="Times New Roman" w:hAnsiTheme="minorHAnsi" w:cstheme="minorHAnsi"/>
                <w:b/>
                <w:bCs/>
                <w:color w:val="FFFFFF" w:themeColor="background1"/>
                <w:sz w:val="18"/>
                <w:szCs w:val="18"/>
                <w:lang w:eastAsia="zh-CN"/>
              </w:rPr>
              <w:t>k</w:t>
            </w:r>
            <w:r w:rsidRPr="00C96541">
              <w:rPr>
                <w:rFonts w:asciiTheme="minorHAnsi" w:eastAsia="Times New Roman" w:hAnsiTheme="minorHAnsi" w:cstheme="minorHAnsi"/>
                <w:b/>
                <w:bCs/>
                <w:color w:val="FFFFFF" w:themeColor="background1"/>
                <w:sz w:val="18"/>
                <w:szCs w:val="18"/>
                <w:lang w:eastAsia="zh-CN"/>
              </w:rPr>
              <w:t>oz</w:t>
            </w:r>
            <w:proofErr w:type="spellEnd"/>
            <w:r w:rsidRPr="00C96541">
              <w:rPr>
                <w:rFonts w:asciiTheme="minorHAnsi" w:eastAsia="Times New Roman" w:hAnsiTheme="minorHAnsi" w:cstheme="minorHAnsi"/>
                <w:b/>
                <w:bCs/>
                <w:color w:val="FFFFFF" w:themeColor="background1"/>
                <w:sz w:val="18"/>
                <w:szCs w:val="18"/>
                <w:lang w:eastAsia="zh-CN"/>
              </w:rPr>
              <w:t>)</w:t>
            </w:r>
          </w:p>
        </w:tc>
        <w:tc>
          <w:tcPr>
            <w:tcW w:w="465" w:type="pct"/>
            <w:tcBorders>
              <w:top w:val="single" w:sz="8" w:space="0" w:color="FFFFFF"/>
              <w:left w:val="nil"/>
              <w:bottom w:val="nil"/>
              <w:right w:val="single" w:sz="8" w:space="0" w:color="FFFFFF"/>
            </w:tcBorders>
            <w:shd w:val="clear" w:color="auto" w:fill="1F3864" w:themeFill="accent1" w:themeFillShade="80"/>
          </w:tcPr>
          <w:p w14:paraId="284675A0"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Tonnage</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w:t>
            </w:r>
            <w:r>
              <w:rPr>
                <w:rFonts w:asciiTheme="minorHAnsi" w:eastAsia="Times New Roman" w:hAnsiTheme="minorHAnsi" w:cstheme="minorHAnsi"/>
                <w:b/>
                <w:bCs/>
                <w:color w:val="FFFFFF" w:themeColor="background1"/>
                <w:sz w:val="18"/>
                <w:szCs w:val="18"/>
                <w:lang w:eastAsia="zh-CN"/>
              </w:rPr>
              <w:t>M</w:t>
            </w:r>
            <w:r w:rsidRPr="00C96541">
              <w:rPr>
                <w:rFonts w:asciiTheme="minorHAnsi" w:eastAsia="Times New Roman" w:hAnsiTheme="minorHAnsi" w:cstheme="minorHAnsi"/>
                <w:b/>
                <w:bCs/>
                <w:color w:val="FFFFFF" w:themeColor="background1"/>
                <w:sz w:val="18"/>
                <w:szCs w:val="18"/>
                <w:lang w:eastAsia="zh-CN"/>
              </w:rPr>
              <w:t>t)</w:t>
            </w:r>
          </w:p>
        </w:tc>
        <w:tc>
          <w:tcPr>
            <w:tcW w:w="467" w:type="pct"/>
            <w:tcBorders>
              <w:top w:val="single" w:sz="8" w:space="0" w:color="FFFFFF"/>
              <w:left w:val="nil"/>
              <w:bottom w:val="nil"/>
              <w:right w:val="single" w:sz="8" w:space="0" w:color="FFFFFF"/>
            </w:tcBorders>
            <w:shd w:val="clear" w:color="auto" w:fill="1F3864" w:themeFill="accent1" w:themeFillShade="80"/>
          </w:tcPr>
          <w:p w14:paraId="321B4DD9"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Grade</w:t>
            </w:r>
            <w:r>
              <w:rPr>
                <w:rFonts w:asciiTheme="minorHAnsi" w:eastAsia="Times New Roman" w:hAnsiTheme="minorHAnsi" w:cstheme="minorHAnsi"/>
                <w:b/>
                <w:bCs/>
                <w:color w:val="FFFFFF" w:themeColor="background1"/>
                <w:sz w:val="18"/>
                <w:szCs w:val="18"/>
                <w:lang w:eastAsia="zh-CN"/>
              </w:rPr>
              <w:t xml:space="preserve"> g/t</w:t>
            </w:r>
          </w:p>
        </w:tc>
        <w:tc>
          <w:tcPr>
            <w:tcW w:w="467" w:type="pct"/>
            <w:tcBorders>
              <w:top w:val="single" w:sz="8" w:space="0" w:color="FFFFFF"/>
              <w:left w:val="nil"/>
              <w:bottom w:val="nil"/>
              <w:right w:val="single" w:sz="8" w:space="0" w:color="FFFFFF"/>
            </w:tcBorders>
            <w:shd w:val="clear" w:color="auto" w:fill="1F3864" w:themeFill="accent1" w:themeFillShade="80"/>
            <w:vAlign w:val="center"/>
          </w:tcPr>
          <w:p w14:paraId="5C8645B0"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G</w:t>
            </w:r>
            <w:r w:rsidRPr="00C96541">
              <w:rPr>
                <w:rFonts w:asciiTheme="minorHAnsi" w:eastAsia="Times New Roman" w:hAnsiTheme="minorHAnsi" w:cstheme="minorHAnsi"/>
                <w:b/>
                <w:bCs/>
                <w:color w:val="FFFFFF" w:themeColor="background1"/>
                <w:sz w:val="18"/>
                <w:szCs w:val="18"/>
                <w:lang w:eastAsia="zh-CN"/>
              </w:rPr>
              <w:t>old</w:t>
            </w:r>
            <w:r>
              <w:rPr>
                <w:rFonts w:asciiTheme="minorHAnsi" w:eastAsia="Times New Roman" w:hAnsiTheme="minorHAnsi" w:cstheme="minorHAnsi"/>
                <w:b/>
                <w:bCs/>
                <w:color w:val="FFFFFF" w:themeColor="background1"/>
                <w:sz w:val="18"/>
                <w:szCs w:val="18"/>
                <w:lang w:eastAsia="zh-CN"/>
              </w:rPr>
              <w:br/>
              <w:t>(</w:t>
            </w:r>
            <w:proofErr w:type="spellStart"/>
            <w:r>
              <w:rPr>
                <w:rFonts w:asciiTheme="minorHAnsi" w:eastAsia="Times New Roman" w:hAnsiTheme="minorHAnsi" w:cstheme="minorHAnsi"/>
                <w:b/>
                <w:bCs/>
                <w:color w:val="FFFFFF" w:themeColor="background1"/>
                <w:sz w:val="18"/>
                <w:szCs w:val="18"/>
                <w:lang w:eastAsia="zh-CN"/>
              </w:rPr>
              <w:t>k</w:t>
            </w:r>
            <w:r w:rsidRPr="00C96541">
              <w:rPr>
                <w:rFonts w:asciiTheme="minorHAnsi" w:eastAsia="Times New Roman" w:hAnsiTheme="minorHAnsi" w:cstheme="minorHAnsi"/>
                <w:b/>
                <w:bCs/>
                <w:color w:val="FFFFFF" w:themeColor="background1"/>
                <w:sz w:val="18"/>
                <w:szCs w:val="18"/>
                <w:lang w:eastAsia="zh-CN"/>
              </w:rPr>
              <w:t>oz</w:t>
            </w:r>
            <w:proofErr w:type="spellEnd"/>
            <w:r w:rsidRPr="00C96541">
              <w:rPr>
                <w:rFonts w:asciiTheme="minorHAnsi" w:eastAsia="Times New Roman" w:hAnsiTheme="minorHAnsi" w:cstheme="minorHAnsi"/>
                <w:b/>
                <w:bCs/>
                <w:color w:val="FFFFFF" w:themeColor="background1"/>
                <w:sz w:val="18"/>
                <w:szCs w:val="18"/>
                <w:lang w:eastAsia="zh-CN"/>
              </w:rPr>
              <w:t>)</w:t>
            </w:r>
          </w:p>
        </w:tc>
        <w:tc>
          <w:tcPr>
            <w:tcW w:w="465" w:type="pct"/>
            <w:tcBorders>
              <w:top w:val="single" w:sz="8" w:space="0" w:color="FFFFFF"/>
              <w:left w:val="nil"/>
              <w:bottom w:val="nil"/>
              <w:right w:val="single" w:sz="8" w:space="0" w:color="FFFFFF"/>
            </w:tcBorders>
            <w:shd w:val="clear" w:color="auto" w:fill="1F3864" w:themeFill="accent1" w:themeFillShade="80"/>
          </w:tcPr>
          <w:p w14:paraId="262C5232"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Tonnage</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w:t>
            </w:r>
            <w:r>
              <w:rPr>
                <w:rFonts w:asciiTheme="minorHAnsi" w:eastAsia="Times New Roman" w:hAnsiTheme="minorHAnsi" w:cstheme="minorHAnsi"/>
                <w:b/>
                <w:bCs/>
                <w:color w:val="FFFFFF" w:themeColor="background1"/>
                <w:sz w:val="18"/>
                <w:szCs w:val="18"/>
                <w:lang w:eastAsia="zh-CN"/>
              </w:rPr>
              <w:t>M</w:t>
            </w:r>
            <w:r w:rsidRPr="00C96541">
              <w:rPr>
                <w:rFonts w:asciiTheme="minorHAnsi" w:eastAsia="Times New Roman" w:hAnsiTheme="minorHAnsi" w:cstheme="minorHAnsi"/>
                <w:b/>
                <w:bCs/>
                <w:color w:val="FFFFFF" w:themeColor="background1"/>
                <w:sz w:val="18"/>
                <w:szCs w:val="18"/>
                <w:lang w:eastAsia="zh-CN"/>
              </w:rPr>
              <w:t>t)</w:t>
            </w:r>
          </w:p>
        </w:tc>
        <w:tc>
          <w:tcPr>
            <w:tcW w:w="465" w:type="pct"/>
            <w:tcBorders>
              <w:top w:val="single" w:sz="8" w:space="0" w:color="FFFFFF"/>
              <w:left w:val="nil"/>
              <w:bottom w:val="nil"/>
              <w:right w:val="single" w:sz="8" w:space="0" w:color="FFFFFF"/>
            </w:tcBorders>
            <w:shd w:val="clear" w:color="auto" w:fill="1F3864" w:themeFill="accent1" w:themeFillShade="80"/>
          </w:tcPr>
          <w:p w14:paraId="0D5A192A"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Grade</w:t>
            </w:r>
            <w:r>
              <w:rPr>
                <w:rFonts w:asciiTheme="minorHAnsi" w:eastAsia="Times New Roman" w:hAnsiTheme="minorHAnsi" w:cstheme="minorHAnsi"/>
                <w:b/>
                <w:bCs/>
                <w:color w:val="FFFFFF" w:themeColor="background1"/>
                <w:sz w:val="18"/>
                <w:szCs w:val="18"/>
                <w:lang w:eastAsia="zh-CN"/>
              </w:rPr>
              <w:t xml:space="preserve"> g/t</w:t>
            </w:r>
          </w:p>
        </w:tc>
        <w:tc>
          <w:tcPr>
            <w:tcW w:w="541" w:type="pct"/>
            <w:tcBorders>
              <w:top w:val="single" w:sz="8" w:space="0" w:color="FFFFFF"/>
              <w:left w:val="nil"/>
              <w:bottom w:val="nil"/>
              <w:right w:val="single" w:sz="8" w:space="0" w:color="FFFFFF"/>
            </w:tcBorders>
            <w:shd w:val="clear" w:color="auto" w:fill="1F3864" w:themeFill="accent1" w:themeFillShade="80"/>
            <w:vAlign w:val="center"/>
          </w:tcPr>
          <w:p w14:paraId="5484214B" w14:textId="77777777" w:rsidR="00453E73"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G</w:t>
            </w:r>
            <w:r w:rsidRPr="00C96541">
              <w:rPr>
                <w:rFonts w:asciiTheme="minorHAnsi" w:eastAsia="Times New Roman" w:hAnsiTheme="minorHAnsi" w:cstheme="minorHAnsi"/>
                <w:b/>
                <w:bCs/>
                <w:color w:val="FFFFFF" w:themeColor="background1"/>
                <w:sz w:val="18"/>
                <w:szCs w:val="18"/>
                <w:lang w:eastAsia="zh-CN"/>
              </w:rPr>
              <w:t>old</w:t>
            </w:r>
            <w:r>
              <w:rPr>
                <w:rFonts w:asciiTheme="minorHAnsi" w:eastAsia="Times New Roman" w:hAnsiTheme="minorHAnsi" w:cstheme="minorHAnsi"/>
                <w:b/>
                <w:bCs/>
                <w:color w:val="FFFFFF" w:themeColor="background1"/>
                <w:sz w:val="18"/>
                <w:szCs w:val="18"/>
                <w:lang w:eastAsia="zh-CN"/>
              </w:rPr>
              <w:br/>
            </w:r>
            <w:r w:rsidRPr="00C96541">
              <w:rPr>
                <w:rFonts w:asciiTheme="minorHAnsi" w:eastAsia="Times New Roman" w:hAnsiTheme="minorHAnsi" w:cstheme="minorHAnsi"/>
                <w:b/>
                <w:bCs/>
                <w:color w:val="FFFFFF" w:themeColor="background1"/>
                <w:sz w:val="18"/>
                <w:szCs w:val="18"/>
                <w:lang w:eastAsia="zh-CN"/>
              </w:rPr>
              <w:t>(</w:t>
            </w:r>
            <w:proofErr w:type="spellStart"/>
            <w:r>
              <w:rPr>
                <w:rFonts w:asciiTheme="minorHAnsi" w:eastAsia="Times New Roman" w:hAnsiTheme="minorHAnsi" w:cstheme="minorHAnsi"/>
                <w:b/>
                <w:bCs/>
                <w:color w:val="FFFFFF" w:themeColor="background1"/>
                <w:sz w:val="18"/>
                <w:szCs w:val="18"/>
                <w:lang w:eastAsia="zh-CN"/>
              </w:rPr>
              <w:t>k</w:t>
            </w:r>
            <w:r w:rsidRPr="00C96541">
              <w:rPr>
                <w:rFonts w:asciiTheme="minorHAnsi" w:eastAsia="Times New Roman" w:hAnsiTheme="minorHAnsi" w:cstheme="minorHAnsi"/>
                <w:b/>
                <w:bCs/>
                <w:color w:val="FFFFFF" w:themeColor="background1"/>
                <w:sz w:val="18"/>
                <w:szCs w:val="18"/>
                <w:lang w:eastAsia="zh-CN"/>
              </w:rPr>
              <w:t>oz</w:t>
            </w:r>
            <w:proofErr w:type="spellEnd"/>
            <w:r w:rsidRPr="00C96541">
              <w:rPr>
                <w:rFonts w:asciiTheme="minorHAnsi" w:eastAsia="Times New Roman" w:hAnsiTheme="minorHAnsi" w:cstheme="minorHAnsi"/>
                <w:b/>
                <w:bCs/>
                <w:color w:val="FFFFFF" w:themeColor="background1"/>
                <w:sz w:val="18"/>
                <w:szCs w:val="18"/>
                <w:lang w:eastAsia="zh-CN"/>
              </w:rPr>
              <w:t>)</w:t>
            </w:r>
          </w:p>
        </w:tc>
      </w:tr>
      <w:tr w:rsidR="00453E73" w:rsidRPr="00394AD4" w14:paraId="5CFEFF3E" w14:textId="77777777" w:rsidTr="00A36A6E">
        <w:trPr>
          <w:trHeight w:val="340"/>
        </w:trPr>
        <w:tc>
          <w:tcPr>
            <w:tcW w:w="861" w:type="pct"/>
            <w:tcBorders>
              <w:top w:val="nil"/>
              <w:left w:val="single" w:sz="8" w:space="0" w:color="FFFFFF"/>
              <w:bottom w:val="single" w:sz="8" w:space="0" w:color="FFFFFF"/>
              <w:right w:val="single" w:sz="8" w:space="0" w:color="FFFFFF"/>
            </w:tcBorders>
            <w:shd w:val="clear" w:color="auto" w:fill="auto"/>
            <w:noWrap/>
            <w:vAlign w:val="center"/>
          </w:tcPr>
          <w:p w14:paraId="1126B5B2" w14:textId="77777777" w:rsidR="00453E73" w:rsidRPr="00394AD4" w:rsidRDefault="00453E73" w:rsidP="00A36A6E">
            <w:pPr>
              <w:spacing w:after="120"/>
              <w:contextualSpacing/>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Lord Nelson</w:t>
            </w:r>
          </w:p>
        </w:tc>
        <w:tc>
          <w:tcPr>
            <w:tcW w:w="451" w:type="pct"/>
            <w:tcBorders>
              <w:top w:val="nil"/>
              <w:left w:val="nil"/>
              <w:bottom w:val="single" w:sz="8" w:space="0" w:color="FFFFFF"/>
              <w:right w:val="single" w:sz="8" w:space="0" w:color="FFFFFF"/>
            </w:tcBorders>
            <w:shd w:val="clear" w:color="auto" w:fill="auto"/>
            <w:noWrap/>
            <w:vAlign w:val="center"/>
          </w:tcPr>
          <w:p w14:paraId="1515332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1.0</w:t>
            </w:r>
          </w:p>
        </w:tc>
        <w:tc>
          <w:tcPr>
            <w:tcW w:w="351" w:type="pct"/>
            <w:tcBorders>
              <w:top w:val="nil"/>
              <w:left w:val="nil"/>
              <w:bottom w:val="single" w:sz="8" w:space="0" w:color="FFFFFF"/>
              <w:right w:val="single" w:sz="8" w:space="0" w:color="FFFFFF"/>
            </w:tcBorders>
            <w:shd w:val="clear" w:color="auto" w:fill="auto"/>
            <w:noWrap/>
            <w:vAlign w:val="center"/>
          </w:tcPr>
          <w:p w14:paraId="695714B6"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1.8</w:t>
            </w:r>
          </w:p>
        </w:tc>
        <w:tc>
          <w:tcPr>
            <w:tcW w:w="468" w:type="pct"/>
            <w:tcBorders>
              <w:top w:val="nil"/>
              <w:left w:val="nil"/>
              <w:bottom w:val="single" w:sz="8" w:space="0" w:color="FFFFFF"/>
              <w:right w:val="single" w:sz="8" w:space="0" w:color="FFFFFF"/>
            </w:tcBorders>
            <w:shd w:val="clear" w:color="auto" w:fill="auto"/>
            <w:vAlign w:val="center"/>
          </w:tcPr>
          <w:p w14:paraId="4CC26BE6"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56</w:t>
            </w:r>
          </w:p>
        </w:tc>
        <w:tc>
          <w:tcPr>
            <w:tcW w:w="465" w:type="pct"/>
            <w:tcBorders>
              <w:top w:val="nil"/>
              <w:left w:val="nil"/>
              <w:bottom w:val="single" w:sz="8" w:space="0" w:color="FFFFFF"/>
              <w:right w:val="single" w:sz="8" w:space="0" w:color="FFFFFF"/>
            </w:tcBorders>
            <w:vAlign w:val="center"/>
          </w:tcPr>
          <w:p w14:paraId="59B231F7"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4.3</w:t>
            </w:r>
          </w:p>
        </w:tc>
        <w:tc>
          <w:tcPr>
            <w:tcW w:w="467" w:type="pct"/>
            <w:tcBorders>
              <w:top w:val="nil"/>
              <w:left w:val="nil"/>
              <w:bottom w:val="single" w:sz="8" w:space="0" w:color="FFFFFF"/>
              <w:right w:val="single" w:sz="8" w:space="0" w:color="FFFFFF"/>
            </w:tcBorders>
            <w:vAlign w:val="center"/>
          </w:tcPr>
          <w:p w14:paraId="2433C1A6"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1.5</w:t>
            </w:r>
          </w:p>
        </w:tc>
        <w:tc>
          <w:tcPr>
            <w:tcW w:w="467" w:type="pct"/>
            <w:tcBorders>
              <w:top w:val="nil"/>
              <w:left w:val="nil"/>
              <w:bottom w:val="single" w:sz="8" w:space="0" w:color="FFFFFF"/>
              <w:right w:val="single" w:sz="8" w:space="0" w:color="FFFFFF"/>
            </w:tcBorders>
            <w:vAlign w:val="center"/>
          </w:tcPr>
          <w:p w14:paraId="7098CCE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211</w:t>
            </w:r>
          </w:p>
        </w:tc>
        <w:tc>
          <w:tcPr>
            <w:tcW w:w="465" w:type="pct"/>
            <w:tcBorders>
              <w:top w:val="nil"/>
              <w:left w:val="nil"/>
              <w:bottom w:val="single" w:sz="8" w:space="0" w:color="FFFFFF"/>
              <w:right w:val="single" w:sz="8" w:space="0" w:color="FFFFFF"/>
            </w:tcBorders>
            <w:vAlign w:val="center"/>
          </w:tcPr>
          <w:p w14:paraId="30F8A9D5"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5.3</w:t>
            </w:r>
          </w:p>
        </w:tc>
        <w:tc>
          <w:tcPr>
            <w:tcW w:w="465" w:type="pct"/>
            <w:tcBorders>
              <w:top w:val="nil"/>
              <w:left w:val="nil"/>
              <w:bottom w:val="single" w:sz="8" w:space="0" w:color="FFFFFF"/>
              <w:right w:val="single" w:sz="8" w:space="0" w:color="FFFFFF"/>
            </w:tcBorders>
            <w:vAlign w:val="center"/>
          </w:tcPr>
          <w:p w14:paraId="4E981EF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1.6</w:t>
            </w:r>
          </w:p>
        </w:tc>
        <w:tc>
          <w:tcPr>
            <w:tcW w:w="541" w:type="pct"/>
            <w:tcBorders>
              <w:top w:val="nil"/>
              <w:left w:val="nil"/>
              <w:bottom w:val="single" w:sz="8" w:space="0" w:color="FFFFFF"/>
              <w:right w:val="single" w:sz="8" w:space="0" w:color="FFFFFF"/>
            </w:tcBorders>
            <w:vAlign w:val="center"/>
          </w:tcPr>
          <w:p w14:paraId="3CE94B6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267</w:t>
            </w:r>
          </w:p>
        </w:tc>
      </w:tr>
      <w:tr w:rsidR="00453E73" w:rsidRPr="00394AD4" w14:paraId="1B8FDD02" w14:textId="77777777" w:rsidTr="00A36A6E">
        <w:trPr>
          <w:trHeight w:val="340"/>
        </w:trPr>
        <w:tc>
          <w:tcPr>
            <w:tcW w:w="861" w:type="pct"/>
            <w:tcBorders>
              <w:top w:val="nil"/>
              <w:left w:val="single" w:sz="8" w:space="0" w:color="FFFFFF"/>
              <w:bottom w:val="single" w:sz="8" w:space="0" w:color="FFFFFF"/>
              <w:right w:val="single" w:sz="8" w:space="0" w:color="FFFFFF"/>
            </w:tcBorders>
            <w:shd w:val="clear" w:color="auto" w:fill="auto"/>
            <w:vAlign w:val="center"/>
            <w:hideMark/>
          </w:tcPr>
          <w:p w14:paraId="3D92D048" w14:textId="77777777" w:rsidR="00453E73" w:rsidRPr="00C96541" w:rsidRDefault="00453E73" w:rsidP="00A36A6E">
            <w:pPr>
              <w:spacing w:after="120"/>
              <w:contextualSpacing/>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Lord Henry</w:t>
            </w:r>
          </w:p>
        </w:tc>
        <w:tc>
          <w:tcPr>
            <w:tcW w:w="451" w:type="pct"/>
            <w:tcBorders>
              <w:top w:val="nil"/>
              <w:left w:val="nil"/>
              <w:bottom w:val="single" w:sz="8" w:space="0" w:color="FFFFFF"/>
              <w:right w:val="single" w:sz="8" w:space="0" w:color="FFFFFF"/>
            </w:tcBorders>
            <w:shd w:val="clear" w:color="auto" w:fill="auto"/>
            <w:noWrap/>
            <w:vAlign w:val="center"/>
          </w:tcPr>
          <w:p w14:paraId="444D1D11"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1.6</w:t>
            </w:r>
          </w:p>
        </w:tc>
        <w:tc>
          <w:tcPr>
            <w:tcW w:w="351" w:type="pct"/>
            <w:tcBorders>
              <w:top w:val="nil"/>
              <w:left w:val="nil"/>
              <w:bottom w:val="single" w:sz="8" w:space="0" w:color="FFFFFF"/>
              <w:right w:val="single" w:sz="8" w:space="0" w:color="FFFFFF"/>
            </w:tcBorders>
            <w:shd w:val="clear" w:color="auto" w:fill="auto"/>
            <w:noWrap/>
            <w:vAlign w:val="center"/>
          </w:tcPr>
          <w:p w14:paraId="5D60F6E1"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1.5</w:t>
            </w:r>
          </w:p>
        </w:tc>
        <w:tc>
          <w:tcPr>
            <w:tcW w:w="468" w:type="pct"/>
            <w:tcBorders>
              <w:top w:val="nil"/>
              <w:left w:val="nil"/>
              <w:bottom w:val="single" w:sz="8" w:space="0" w:color="FFFFFF"/>
              <w:right w:val="single" w:sz="8" w:space="0" w:color="FFFFFF"/>
            </w:tcBorders>
            <w:shd w:val="clear" w:color="auto" w:fill="auto"/>
            <w:vAlign w:val="center"/>
          </w:tcPr>
          <w:p w14:paraId="6BEC108B"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77</w:t>
            </w:r>
          </w:p>
        </w:tc>
        <w:tc>
          <w:tcPr>
            <w:tcW w:w="465" w:type="pct"/>
            <w:tcBorders>
              <w:top w:val="nil"/>
              <w:left w:val="nil"/>
              <w:bottom w:val="single" w:sz="8" w:space="0" w:color="FFFFFF"/>
              <w:right w:val="single" w:sz="8" w:space="0" w:color="FFFFFF"/>
            </w:tcBorders>
            <w:vAlign w:val="center"/>
          </w:tcPr>
          <w:p w14:paraId="5A439988"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0.3</w:t>
            </w:r>
          </w:p>
        </w:tc>
        <w:tc>
          <w:tcPr>
            <w:tcW w:w="467" w:type="pct"/>
            <w:tcBorders>
              <w:top w:val="nil"/>
              <w:left w:val="nil"/>
              <w:bottom w:val="single" w:sz="8" w:space="0" w:color="FFFFFF"/>
              <w:right w:val="single" w:sz="8" w:space="0" w:color="FFFFFF"/>
            </w:tcBorders>
            <w:vAlign w:val="center"/>
          </w:tcPr>
          <w:p w14:paraId="6E65EC1E"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1.2</w:t>
            </w:r>
          </w:p>
        </w:tc>
        <w:tc>
          <w:tcPr>
            <w:tcW w:w="467" w:type="pct"/>
            <w:tcBorders>
              <w:top w:val="nil"/>
              <w:left w:val="nil"/>
              <w:bottom w:val="single" w:sz="8" w:space="0" w:color="FFFFFF"/>
              <w:right w:val="single" w:sz="8" w:space="0" w:color="FFFFFF"/>
            </w:tcBorders>
            <w:vAlign w:val="center"/>
          </w:tcPr>
          <w:p w14:paraId="57202273"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13</w:t>
            </w:r>
          </w:p>
        </w:tc>
        <w:tc>
          <w:tcPr>
            <w:tcW w:w="465" w:type="pct"/>
            <w:tcBorders>
              <w:top w:val="nil"/>
              <w:left w:val="nil"/>
              <w:bottom w:val="single" w:sz="8" w:space="0" w:color="FFFFFF"/>
              <w:right w:val="single" w:sz="8" w:space="0" w:color="FFFFFF"/>
            </w:tcBorders>
            <w:vAlign w:val="center"/>
          </w:tcPr>
          <w:p w14:paraId="06D670D2"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1.9</w:t>
            </w:r>
          </w:p>
        </w:tc>
        <w:tc>
          <w:tcPr>
            <w:tcW w:w="465" w:type="pct"/>
            <w:tcBorders>
              <w:top w:val="nil"/>
              <w:left w:val="nil"/>
              <w:bottom w:val="single" w:sz="8" w:space="0" w:color="FFFFFF"/>
              <w:right w:val="single" w:sz="8" w:space="0" w:color="FFFFFF"/>
            </w:tcBorders>
            <w:vAlign w:val="center"/>
          </w:tcPr>
          <w:p w14:paraId="6BB2D00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1.4</w:t>
            </w:r>
          </w:p>
        </w:tc>
        <w:tc>
          <w:tcPr>
            <w:tcW w:w="541" w:type="pct"/>
            <w:tcBorders>
              <w:top w:val="nil"/>
              <w:left w:val="nil"/>
              <w:bottom w:val="single" w:sz="8" w:space="0" w:color="FFFFFF"/>
              <w:right w:val="single" w:sz="8" w:space="0" w:color="FFFFFF"/>
            </w:tcBorders>
            <w:vAlign w:val="center"/>
          </w:tcPr>
          <w:p w14:paraId="45E2742E"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90</w:t>
            </w:r>
          </w:p>
        </w:tc>
      </w:tr>
      <w:tr w:rsidR="00453E73" w:rsidRPr="00394AD4" w14:paraId="1F491D0D" w14:textId="77777777" w:rsidTr="00A36A6E">
        <w:trPr>
          <w:trHeight w:val="340"/>
        </w:trPr>
        <w:tc>
          <w:tcPr>
            <w:tcW w:w="861" w:type="pct"/>
            <w:tcBorders>
              <w:top w:val="nil"/>
              <w:left w:val="single" w:sz="8" w:space="0" w:color="FFFFFF"/>
              <w:bottom w:val="single" w:sz="8" w:space="0" w:color="FFFFFF"/>
              <w:right w:val="single" w:sz="8" w:space="0" w:color="FFFFFF"/>
            </w:tcBorders>
            <w:shd w:val="clear" w:color="auto" w:fill="auto"/>
            <w:vAlign w:val="center"/>
          </w:tcPr>
          <w:p w14:paraId="791E5676" w14:textId="77777777" w:rsidR="00453E73" w:rsidRDefault="00453E73" w:rsidP="00A36A6E">
            <w:pPr>
              <w:spacing w:after="120"/>
              <w:contextualSpacing/>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Vanguard Camp</w:t>
            </w:r>
          </w:p>
        </w:tc>
        <w:tc>
          <w:tcPr>
            <w:tcW w:w="451" w:type="pct"/>
            <w:tcBorders>
              <w:top w:val="nil"/>
              <w:left w:val="nil"/>
              <w:bottom w:val="single" w:sz="8" w:space="0" w:color="FFFFFF"/>
              <w:right w:val="single" w:sz="8" w:space="0" w:color="FFFFFF"/>
            </w:tcBorders>
            <w:shd w:val="clear" w:color="auto" w:fill="auto"/>
            <w:noWrap/>
            <w:vAlign w:val="center"/>
          </w:tcPr>
          <w:p w14:paraId="1BE7EAAD"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0.4</w:t>
            </w:r>
          </w:p>
        </w:tc>
        <w:tc>
          <w:tcPr>
            <w:tcW w:w="351" w:type="pct"/>
            <w:tcBorders>
              <w:top w:val="nil"/>
              <w:left w:val="nil"/>
              <w:bottom w:val="single" w:sz="8" w:space="0" w:color="FFFFFF"/>
              <w:right w:val="single" w:sz="8" w:space="0" w:color="FFFFFF"/>
            </w:tcBorders>
            <w:shd w:val="clear" w:color="auto" w:fill="auto"/>
            <w:noWrap/>
            <w:vAlign w:val="center"/>
          </w:tcPr>
          <w:p w14:paraId="2B22A16D"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2.0</w:t>
            </w:r>
          </w:p>
        </w:tc>
        <w:tc>
          <w:tcPr>
            <w:tcW w:w="468" w:type="pct"/>
            <w:tcBorders>
              <w:top w:val="nil"/>
              <w:left w:val="nil"/>
              <w:bottom w:val="single" w:sz="8" w:space="0" w:color="FFFFFF"/>
              <w:right w:val="single" w:sz="8" w:space="0" w:color="FFFFFF"/>
            </w:tcBorders>
            <w:shd w:val="clear" w:color="auto" w:fill="auto"/>
            <w:vAlign w:val="center"/>
          </w:tcPr>
          <w:p w14:paraId="6A979D6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26</w:t>
            </w:r>
          </w:p>
        </w:tc>
        <w:tc>
          <w:tcPr>
            <w:tcW w:w="465" w:type="pct"/>
            <w:tcBorders>
              <w:top w:val="nil"/>
              <w:left w:val="nil"/>
              <w:bottom w:val="single" w:sz="8" w:space="0" w:color="FFFFFF"/>
              <w:right w:val="single" w:sz="8" w:space="0" w:color="FFFFFF"/>
            </w:tcBorders>
            <w:vAlign w:val="center"/>
          </w:tcPr>
          <w:p w14:paraId="557D505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1.9</w:t>
            </w:r>
          </w:p>
        </w:tc>
        <w:tc>
          <w:tcPr>
            <w:tcW w:w="467" w:type="pct"/>
            <w:tcBorders>
              <w:top w:val="nil"/>
              <w:left w:val="nil"/>
              <w:bottom w:val="single" w:sz="8" w:space="0" w:color="FFFFFF"/>
              <w:right w:val="single" w:sz="8" w:space="0" w:color="FFFFFF"/>
            </w:tcBorders>
            <w:vAlign w:val="center"/>
          </w:tcPr>
          <w:p w14:paraId="43807CC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2.0</w:t>
            </w:r>
          </w:p>
        </w:tc>
        <w:tc>
          <w:tcPr>
            <w:tcW w:w="467" w:type="pct"/>
            <w:tcBorders>
              <w:top w:val="nil"/>
              <w:left w:val="nil"/>
              <w:bottom w:val="single" w:sz="8" w:space="0" w:color="FFFFFF"/>
              <w:right w:val="single" w:sz="8" w:space="0" w:color="FFFFFF"/>
            </w:tcBorders>
            <w:vAlign w:val="center"/>
          </w:tcPr>
          <w:p w14:paraId="33402108"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124</w:t>
            </w:r>
          </w:p>
        </w:tc>
        <w:tc>
          <w:tcPr>
            <w:tcW w:w="465" w:type="pct"/>
            <w:tcBorders>
              <w:top w:val="nil"/>
              <w:left w:val="nil"/>
              <w:bottom w:val="single" w:sz="8" w:space="0" w:color="FFFFFF"/>
              <w:right w:val="single" w:sz="8" w:space="0" w:color="FFFFFF"/>
            </w:tcBorders>
            <w:vAlign w:val="center"/>
          </w:tcPr>
          <w:p w14:paraId="3E400CF8"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2.3</w:t>
            </w:r>
          </w:p>
        </w:tc>
        <w:tc>
          <w:tcPr>
            <w:tcW w:w="465" w:type="pct"/>
            <w:tcBorders>
              <w:top w:val="nil"/>
              <w:left w:val="nil"/>
              <w:bottom w:val="single" w:sz="8" w:space="0" w:color="FFFFFF"/>
              <w:right w:val="single" w:sz="8" w:space="0" w:color="FFFFFF"/>
            </w:tcBorders>
            <w:vAlign w:val="center"/>
          </w:tcPr>
          <w:p w14:paraId="3A3E508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2.0</w:t>
            </w:r>
          </w:p>
        </w:tc>
        <w:tc>
          <w:tcPr>
            <w:tcW w:w="541" w:type="pct"/>
            <w:tcBorders>
              <w:top w:val="nil"/>
              <w:left w:val="nil"/>
              <w:bottom w:val="single" w:sz="8" w:space="0" w:color="FFFFFF"/>
              <w:right w:val="single" w:sz="8" w:space="0" w:color="FFFFFF"/>
            </w:tcBorders>
            <w:vAlign w:val="center"/>
          </w:tcPr>
          <w:p w14:paraId="03A30024"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150</w:t>
            </w:r>
          </w:p>
        </w:tc>
      </w:tr>
      <w:tr w:rsidR="00453E73" w:rsidRPr="00394AD4" w14:paraId="4AFF18E9" w14:textId="77777777" w:rsidTr="00A36A6E">
        <w:trPr>
          <w:trHeight w:val="340"/>
        </w:trPr>
        <w:tc>
          <w:tcPr>
            <w:tcW w:w="861" w:type="pct"/>
            <w:tcBorders>
              <w:top w:val="nil"/>
              <w:left w:val="single" w:sz="8" w:space="0" w:color="FFFFFF"/>
              <w:bottom w:val="single" w:sz="8" w:space="0" w:color="FFFFFF"/>
              <w:right w:val="single" w:sz="8" w:space="0" w:color="FFFFFF"/>
            </w:tcBorders>
            <w:shd w:val="clear" w:color="auto" w:fill="auto"/>
            <w:vAlign w:val="center"/>
          </w:tcPr>
          <w:p w14:paraId="52EC497F" w14:textId="77777777" w:rsidR="00453E73" w:rsidRDefault="00453E73" w:rsidP="00A36A6E">
            <w:pPr>
              <w:spacing w:after="120"/>
              <w:contextualSpacing/>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Havilah Camp</w:t>
            </w:r>
          </w:p>
        </w:tc>
        <w:tc>
          <w:tcPr>
            <w:tcW w:w="451" w:type="pct"/>
            <w:tcBorders>
              <w:top w:val="nil"/>
              <w:left w:val="nil"/>
              <w:bottom w:val="single" w:sz="8" w:space="0" w:color="FFFFFF"/>
              <w:right w:val="single" w:sz="8" w:space="0" w:color="FFFFFF"/>
            </w:tcBorders>
            <w:shd w:val="clear" w:color="auto" w:fill="auto"/>
            <w:noWrap/>
            <w:vAlign w:val="center"/>
          </w:tcPr>
          <w:p w14:paraId="4DCC7BCE"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351" w:type="pct"/>
            <w:tcBorders>
              <w:top w:val="nil"/>
              <w:left w:val="nil"/>
              <w:bottom w:val="single" w:sz="8" w:space="0" w:color="FFFFFF"/>
              <w:right w:val="single" w:sz="8" w:space="0" w:color="FFFFFF"/>
            </w:tcBorders>
            <w:shd w:val="clear" w:color="auto" w:fill="auto"/>
            <w:noWrap/>
            <w:vAlign w:val="center"/>
          </w:tcPr>
          <w:p w14:paraId="38B6728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468" w:type="pct"/>
            <w:tcBorders>
              <w:top w:val="nil"/>
              <w:left w:val="nil"/>
              <w:bottom w:val="single" w:sz="8" w:space="0" w:color="FFFFFF"/>
              <w:right w:val="single" w:sz="8" w:space="0" w:color="FFFFFF"/>
            </w:tcBorders>
            <w:shd w:val="clear" w:color="auto" w:fill="auto"/>
            <w:vAlign w:val="center"/>
          </w:tcPr>
          <w:p w14:paraId="4A54F6C4"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465" w:type="pct"/>
            <w:tcBorders>
              <w:top w:val="nil"/>
              <w:left w:val="nil"/>
              <w:bottom w:val="single" w:sz="8" w:space="0" w:color="FFFFFF"/>
              <w:right w:val="single" w:sz="8" w:space="0" w:color="FFFFFF"/>
            </w:tcBorders>
            <w:vAlign w:val="center"/>
          </w:tcPr>
          <w:p w14:paraId="388BA6D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1.0</w:t>
            </w:r>
          </w:p>
        </w:tc>
        <w:tc>
          <w:tcPr>
            <w:tcW w:w="467" w:type="pct"/>
            <w:tcBorders>
              <w:top w:val="nil"/>
              <w:left w:val="nil"/>
              <w:bottom w:val="single" w:sz="8" w:space="0" w:color="FFFFFF"/>
              <w:right w:val="single" w:sz="8" w:space="0" w:color="FFFFFF"/>
            </w:tcBorders>
            <w:vAlign w:val="center"/>
          </w:tcPr>
          <w:p w14:paraId="608CD761"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1.5</w:t>
            </w:r>
          </w:p>
        </w:tc>
        <w:tc>
          <w:tcPr>
            <w:tcW w:w="467" w:type="pct"/>
            <w:tcBorders>
              <w:top w:val="nil"/>
              <w:left w:val="nil"/>
              <w:bottom w:val="single" w:sz="8" w:space="0" w:color="FFFFFF"/>
              <w:right w:val="single" w:sz="8" w:space="0" w:color="FFFFFF"/>
            </w:tcBorders>
            <w:vAlign w:val="center"/>
          </w:tcPr>
          <w:p w14:paraId="162F8A71"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46</w:t>
            </w:r>
          </w:p>
        </w:tc>
        <w:tc>
          <w:tcPr>
            <w:tcW w:w="465" w:type="pct"/>
            <w:tcBorders>
              <w:top w:val="nil"/>
              <w:left w:val="nil"/>
              <w:bottom w:val="single" w:sz="8" w:space="0" w:color="FFFFFF"/>
              <w:right w:val="single" w:sz="8" w:space="0" w:color="FFFFFF"/>
            </w:tcBorders>
            <w:vAlign w:val="center"/>
          </w:tcPr>
          <w:p w14:paraId="38DEE199"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1.0</w:t>
            </w:r>
          </w:p>
        </w:tc>
        <w:tc>
          <w:tcPr>
            <w:tcW w:w="465" w:type="pct"/>
            <w:tcBorders>
              <w:top w:val="nil"/>
              <w:left w:val="nil"/>
              <w:bottom w:val="single" w:sz="8" w:space="0" w:color="FFFFFF"/>
              <w:right w:val="single" w:sz="8" w:space="0" w:color="FFFFFF"/>
            </w:tcBorders>
            <w:vAlign w:val="center"/>
          </w:tcPr>
          <w:p w14:paraId="59818E89"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1.5</w:t>
            </w:r>
          </w:p>
        </w:tc>
        <w:tc>
          <w:tcPr>
            <w:tcW w:w="541" w:type="pct"/>
            <w:tcBorders>
              <w:top w:val="nil"/>
              <w:left w:val="nil"/>
              <w:bottom w:val="single" w:sz="8" w:space="0" w:color="FFFFFF"/>
              <w:right w:val="single" w:sz="8" w:space="0" w:color="FFFFFF"/>
            </w:tcBorders>
            <w:vAlign w:val="center"/>
          </w:tcPr>
          <w:p w14:paraId="5A460372"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46</w:t>
            </w:r>
          </w:p>
        </w:tc>
      </w:tr>
      <w:tr w:rsidR="00453E73" w:rsidRPr="00394AD4" w14:paraId="696A25F2" w14:textId="77777777" w:rsidTr="00A36A6E">
        <w:trPr>
          <w:trHeight w:val="340"/>
        </w:trPr>
        <w:tc>
          <w:tcPr>
            <w:tcW w:w="861" w:type="pct"/>
            <w:tcBorders>
              <w:top w:val="nil"/>
              <w:left w:val="single" w:sz="8" w:space="0" w:color="FFFFFF"/>
              <w:bottom w:val="single" w:sz="8" w:space="0" w:color="FFFFFF"/>
              <w:right w:val="single" w:sz="8" w:space="0" w:color="FFFFFF"/>
            </w:tcBorders>
            <w:shd w:val="clear" w:color="auto" w:fill="auto"/>
            <w:vAlign w:val="center"/>
          </w:tcPr>
          <w:p w14:paraId="376B7D15" w14:textId="77777777" w:rsidR="00453E73" w:rsidRDefault="00453E73" w:rsidP="00A36A6E">
            <w:pPr>
              <w:spacing w:after="120"/>
              <w:contextualSpacing/>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Indomitable Camp</w:t>
            </w:r>
            <w:r w:rsidRPr="00B05899">
              <w:rPr>
                <w:rFonts w:asciiTheme="minorHAnsi" w:eastAsia="Times New Roman" w:hAnsiTheme="minorHAnsi" w:cstheme="minorHAnsi"/>
                <w:color w:val="000000"/>
                <w:sz w:val="18"/>
                <w:szCs w:val="18"/>
                <w:vertAlign w:val="superscript"/>
                <w:lang w:eastAsia="zh-CN"/>
              </w:rPr>
              <w:t>a</w:t>
            </w:r>
          </w:p>
        </w:tc>
        <w:tc>
          <w:tcPr>
            <w:tcW w:w="451" w:type="pct"/>
            <w:tcBorders>
              <w:top w:val="nil"/>
              <w:left w:val="nil"/>
              <w:bottom w:val="single" w:sz="8" w:space="0" w:color="FFFFFF"/>
              <w:right w:val="single" w:sz="8" w:space="0" w:color="FFFFFF"/>
            </w:tcBorders>
            <w:shd w:val="clear" w:color="auto" w:fill="auto"/>
            <w:noWrap/>
            <w:vAlign w:val="center"/>
          </w:tcPr>
          <w:p w14:paraId="31AA71AF"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351" w:type="pct"/>
            <w:tcBorders>
              <w:top w:val="nil"/>
              <w:left w:val="nil"/>
              <w:bottom w:val="single" w:sz="8" w:space="0" w:color="FFFFFF"/>
              <w:right w:val="single" w:sz="8" w:space="0" w:color="FFFFFF"/>
            </w:tcBorders>
            <w:shd w:val="clear" w:color="auto" w:fill="auto"/>
            <w:noWrap/>
            <w:vAlign w:val="center"/>
          </w:tcPr>
          <w:p w14:paraId="72D8255B"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468" w:type="pct"/>
            <w:tcBorders>
              <w:top w:val="nil"/>
              <w:left w:val="nil"/>
              <w:bottom w:val="single" w:sz="8" w:space="0" w:color="FFFFFF"/>
              <w:right w:val="single" w:sz="8" w:space="0" w:color="FFFFFF"/>
            </w:tcBorders>
            <w:shd w:val="clear" w:color="auto" w:fill="auto"/>
            <w:vAlign w:val="center"/>
          </w:tcPr>
          <w:p w14:paraId="691E0BA4"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465" w:type="pct"/>
            <w:tcBorders>
              <w:top w:val="nil"/>
              <w:left w:val="nil"/>
              <w:bottom w:val="single" w:sz="8" w:space="0" w:color="FFFFFF"/>
              <w:right w:val="single" w:sz="8" w:space="0" w:color="FFFFFF"/>
            </w:tcBorders>
            <w:vAlign w:val="center"/>
          </w:tcPr>
          <w:p w14:paraId="40B18EE2"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1.7</w:t>
            </w:r>
          </w:p>
        </w:tc>
        <w:tc>
          <w:tcPr>
            <w:tcW w:w="467" w:type="pct"/>
            <w:tcBorders>
              <w:top w:val="nil"/>
              <w:left w:val="nil"/>
              <w:bottom w:val="single" w:sz="8" w:space="0" w:color="FFFFFF"/>
              <w:right w:val="single" w:sz="8" w:space="0" w:color="FFFFFF"/>
            </w:tcBorders>
            <w:vAlign w:val="center"/>
          </w:tcPr>
          <w:p w14:paraId="76C35B0D"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1.3</w:t>
            </w:r>
          </w:p>
        </w:tc>
        <w:tc>
          <w:tcPr>
            <w:tcW w:w="467" w:type="pct"/>
            <w:tcBorders>
              <w:top w:val="nil"/>
              <w:left w:val="nil"/>
              <w:bottom w:val="single" w:sz="8" w:space="0" w:color="FFFFFF"/>
              <w:right w:val="single" w:sz="8" w:space="0" w:color="FFFFFF"/>
            </w:tcBorders>
            <w:vAlign w:val="center"/>
          </w:tcPr>
          <w:p w14:paraId="3F88F197"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74</w:t>
            </w:r>
          </w:p>
        </w:tc>
        <w:tc>
          <w:tcPr>
            <w:tcW w:w="465" w:type="pct"/>
            <w:tcBorders>
              <w:top w:val="nil"/>
              <w:left w:val="nil"/>
              <w:bottom w:val="single" w:sz="8" w:space="0" w:color="FFFFFF"/>
              <w:right w:val="single" w:sz="8" w:space="0" w:color="FFFFFF"/>
            </w:tcBorders>
            <w:vAlign w:val="center"/>
          </w:tcPr>
          <w:p w14:paraId="03A90F0B"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1.7</w:t>
            </w:r>
          </w:p>
        </w:tc>
        <w:tc>
          <w:tcPr>
            <w:tcW w:w="465" w:type="pct"/>
            <w:tcBorders>
              <w:top w:val="nil"/>
              <w:left w:val="nil"/>
              <w:bottom w:val="single" w:sz="8" w:space="0" w:color="FFFFFF"/>
              <w:right w:val="single" w:sz="8" w:space="0" w:color="FFFFFF"/>
            </w:tcBorders>
            <w:vAlign w:val="center"/>
          </w:tcPr>
          <w:p w14:paraId="07B2BCA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1.3</w:t>
            </w:r>
          </w:p>
        </w:tc>
        <w:tc>
          <w:tcPr>
            <w:tcW w:w="541" w:type="pct"/>
            <w:tcBorders>
              <w:top w:val="nil"/>
              <w:left w:val="nil"/>
              <w:bottom w:val="single" w:sz="8" w:space="0" w:color="FFFFFF"/>
              <w:right w:val="single" w:sz="8" w:space="0" w:color="FFFFFF"/>
            </w:tcBorders>
            <w:vAlign w:val="center"/>
          </w:tcPr>
          <w:p w14:paraId="6EFC8AEA"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74</w:t>
            </w:r>
          </w:p>
        </w:tc>
      </w:tr>
      <w:tr w:rsidR="00453E73" w:rsidRPr="00394AD4" w14:paraId="02362F4A" w14:textId="77777777" w:rsidTr="00A36A6E">
        <w:trPr>
          <w:trHeight w:val="340"/>
        </w:trPr>
        <w:tc>
          <w:tcPr>
            <w:tcW w:w="861" w:type="pct"/>
            <w:tcBorders>
              <w:top w:val="nil"/>
              <w:left w:val="single" w:sz="8" w:space="0" w:color="FFFFFF"/>
              <w:bottom w:val="single" w:sz="8" w:space="0" w:color="FFFFFF"/>
              <w:right w:val="single" w:sz="8" w:space="0" w:color="FFFFFF"/>
            </w:tcBorders>
            <w:shd w:val="clear" w:color="auto" w:fill="auto"/>
            <w:vAlign w:val="center"/>
          </w:tcPr>
          <w:p w14:paraId="283EA755" w14:textId="77777777" w:rsidR="00453E73" w:rsidRDefault="00453E73" w:rsidP="00A36A6E">
            <w:pPr>
              <w:spacing w:after="120"/>
              <w:contextualSpacing/>
              <w:rPr>
                <w:rFonts w:asciiTheme="minorHAnsi" w:eastAsia="Times New Roman" w:hAnsiTheme="minorHAnsi" w:cstheme="minorHAnsi"/>
                <w:color w:val="000000"/>
                <w:sz w:val="18"/>
                <w:szCs w:val="18"/>
                <w:lang w:eastAsia="zh-CN"/>
              </w:rPr>
            </w:pPr>
            <w:proofErr w:type="spellStart"/>
            <w:r>
              <w:rPr>
                <w:rFonts w:asciiTheme="minorHAnsi" w:eastAsia="Times New Roman" w:hAnsiTheme="minorHAnsi" w:cstheme="minorHAnsi"/>
                <w:color w:val="000000"/>
                <w:sz w:val="18"/>
                <w:szCs w:val="18"/>
                <w:lang w:eastAsia="zh-CN"/>
              </w:rPr>
              <w:t>Ladybird</w:t>
            </w:r>
            <w:r w:rsidRPr="00B05899">
              <w:rPr>
                <w:rFonts w:asciiTheme="minorHAnsi" w:eastAsia="Times New Roman" w:hAnsiTheme="minorHAnsi" w:cstheme="minorHAnsi"/>
                <w:color w:val="000000"/>
                <w:sz w:val="18"/>
                <w:szCs w:val="18"/>
                <w:vertAlign w:val="superscript"/>
                <w:lang w:eastAsia="zh-CN"/>
              </w:rPr>
              <w:t>b</w:t>
            </w:r>
            <w:proofErr w:type="spellEnd"/>
          </w:p>
        </w:tc>
        <w:tc>
          <w:tcPr>
            <w:tcW w:w="451" w:type="pct"/>
            <w:tcBorders>
              <w:top w:val="nil"/>
              <w:left w:val="nil"/>
              <w:bottom w:val="single" w:sz="8" w:space="0" w:color="FFFFFF"/>
              <w:right w:val="single" w:sz="8" w:space="0" w:color="FFFFFF"/>
            </w:tcBorders>
            <w:shd w:val="clear" w:color="auto" w:fill="auto"/>
            <w:noWrap/>
            <w:vAlign w:val="center"/>
          </w:tcPr>
          <w:p w14:paraId="06A6295F"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351" w:type="pct"/>
            <w:tcBorders>
              <w:top w:val="nil"/>
              <w:left w:val="nil"/>
              <w:bottom w:val="single" w:sz="8" w:space="0" w:color="FFFFFF"/>
              <w:right w:val="single" w:sz="8" w:space="0" w:color="FFFFFF"/>
            </w:tcBorders>
            <w:shd w:val="clear" w:color="auto" w:fill="auto"/>
            <w:noWrap/>
            <w:vAlign w:val="center"/>
          </w:tcPr>
          <w:p w14:paraId="2F8DCB8C"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468" w:type="pct"/>
            <w:tcBorders>
              <w:top w:val="nil"/>
              <w:left w:val="nil"/>
              <w:bottom w:val="single" w:sz="8" w:space="0" w:color="FFFFFF"/>
              <w:right w:val="single" w:sz="8" w:space="0" w:color="FFFFFF"/>
            </w:tcBorders>
            <w:shd w:val="clear" w:color="auto" w:fill="auto"/>
            <w:vAlign w:val="center"/>
          </w:tcPr>
          <w:p w14:paraId="6DC68FE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p>
        </w:tc>
        <w:tc>
          <w:tcPr>
            <w:tcW w:w="465" w:type="pct"/>
            <w:tcBorders>
              <w:top w:val="nil"/>
              <w:left w:val="nil"/>
              <w:bottom w:val="single" w:sz="8" w:space="0" w:color="FFFFFF"/>
              <w:right w:val="single" w:sz="8" w:space="0" w:color="FFFFFF"/>
            </w:tcBorders>
            <w:vAlign w:val="center"/>
          </w:tcPr>
          <w:p w14:paraId="758A724B"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0.1</w:t>
            </w:r>
          </w:p>
        </w:tc>
        <w:tc>
          <w:tcPr>
            <w:tcW w:w="467" w:type="pct"/>
            <w:tcBorders>
              <w:top w:val="nil"/>
              <w:left w:val="nil"/>
              <w:bottom w:val="single" w:sz="8" w:space="0" w:color="FFFFFF"/>
              <w:right w:val="single" w:sz="8" w:space="0" w:color="FFFFFF"/>
            </w:tcBorders>
            <w:vAlign w:val="center"/>
          </w:tcPr>
          <w:p w14:paraId="5B4F9311"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1.9</w:t>
            </w:r>
          </w:p>
        </w:tc>
        <w:tc>
          <w:tcPr>
            <w:tcW w:w="467" w:type="pct"/>
            <w:tcBorders>
              <w:top w:val="nil"/>
              <w:left w:val="nil"/>
              <w:bottom w:val="single" w:sz="8" w:space="0" w:color="FFFFFF"/>
              <w:right w:val="single" w:sz="8" w:space="0" w:color="FFFFFF"/>
            </w:tcBorders>
            <w:vAlign w:val="center"/>
          </w:tcPr>
          <w:p w14:paraId="16C9DBB4"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8</w:t>
            </w:r>
          </w:p>
        </w:tc>
        <w:tc>
          <w:tcPr>
            <w:tcW w:w="465" w:type="pct"/>
            <w:tcBorders>
              <w:top w:val="nil"/>
              <w:left w:val="nil"/>
              <w:bottom w:val="single" w:sz="8" w:space="0" w:color="FFFFFF"/>
              <w:right w:val="single" w:sz="8" w:space="0" w:color="FFFFFF"/>
            </w:tcBorders>
            <w:vAlign w:val="center"/>
          </w:tcPr>
          <w:p w14:paraId="58FE4AC7"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0.1</w:t>
            </w:r>
          </w:p>
        </w:tc>
        <w:tc>
          <w:tcPr>
            <w:tcW w:w="465" w:type="pct"/>
            <w:tcBorders>
              <w:top w:val="nil"/>
              <w:left w:val="nil"/>
              <w:bottom w:val="single" w:sz="8" w:space="0" w:color="FFFFFF"/>
              <w:right w:val="single" w:sz="8" w:space="0" w:color="FFFFFF"/>
            </w:tcBorders>
            <w:vAlign w:val="center"/>
          </w:tcPr>
          <w:p w14:paraId="2E878B96"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1.9</w:t>
            </w:r>
          </w:p>
        </w:tc>
        <w:tc>
          <w:tcPr>
            <w:tcW w:w="541" w:type="pct"/>
            <w:tcBorders>
              <w:top w:val="nil"/>
              <w:left w:val="nil"/>
              <w:bottom w:val="single" w:sz="8" w:space="0" w:color="FFFFFF"/>
              <w:right w:val="single" w:sz="8" w:space="0" w:color="FFFFFF"/>
            </w:tcBorders>
            <w:vAlign w:val="center"/>
          </w:tcPr>
          <w:p w14:paraId="2102C46C"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8</w:t>
            </w:r>
          </w:p>
        </w:tc>
      </w:tr>
      <w:tr w:rsidR="00453E73" w:rsidRPr="00394AD4" w14:paraId="3DCC44A2" w14:textId="77777777" w:rsidTr="00A36A6E">
        <w:trPr>
          <w:trHeight w:val="340"/>
        </w:trPr>
        <w:tc>
          <w:tcPr>
            <w:tcW w:w="861" w:type="pct"/>
            <w:tcBorders>
              <w:top w:val="nil"/>
              <w:left w:val="single" w:sz="8" w:space="0" w:color="FFFFFF"/>
              <w:bottom w:val="single" w:sz="8" w:space="0" w:color="FFFFFF"/>
              <w:right w:val="single" w:sz="8" w:space="0" w:color="FFFFFF"/>
            </w:tcBorders>
            <w:shd w:val="clear" w:color="auto" w:fill="F2F2F2"/>
            <w:noWrap/>
            <w:vAlign w:val="center"/>
            <w:hideMark/>
          </w:tcPr>
          <w:p w14:paraId="73C0EB5E" w14:textId="77777777" w:rsidR="00453E73" w:rsidRPr="00C96541" w:rsidRDefault="00453E73" w:rsidP="00A36A6E">
            <w:pPr>
              <w:spacing w:after="120"/>
              <w:contextualSpacing/>
              <w:rPr>
                <w:rFonts w:asciiTheme="minorHAnsi" w:eastAsia="Times New Roman" w:hAnsiTheme="minorHAnsi" w:cstheme="minorHAnsi"/>
                <w:b/>
                <w:bCs/>
                <w:color w:val="000000"/>
                <w:sz w:val="18"/>
                <w:szCs w:val="18"/>
                <w:lang w:eastAsia="en-AU" w:bidi="en-AU"/>
              </w:rPr>
            </w:pPr>
            <w:r w:rsidRPr="00C96541">
              <w:rPr>
                <w:rFonts w:asciiTheme="minorHAnsi" w:eastAsia="Times New Roman" w:hAnsiTheme="minorHAnsi" w:cstheme="minorHAnsi"/>
                <w:b/>
                <w:bCs/>
                <w:color w:val="000000"/>
                <w:sz w:val="18"/>
                <w:szCs w:val="18"/>
                <w:lang w:eastAsia="en-AU" w:bidi="en-AU"/>
              </w:rPr>
              <w:t xml:space="preserve">TOTAL </w:t>
            </w:r>
          </w:p>
        </w:tc>
        <w:tc>
          <w:tcPr>
            <w:tcW w:w="451" w:type="pct"/>
            <w:tcBorders>
              <w:top w:val="nil"/>
              <w:left w:val="nil"/>
              <w:bottom w:val="single" w:sz="8" w:space="0" w:color="FFFFFF"/>
              <w:right w:val="single" w:sz="8" w:space="0" w:color="FFFFFF"/>
            </w:tcBorders>
            <w:shd w:val="clear" w:color="auto" w:fill="F2F2F2"/>
            <w:noWrap/>
            <w:vAlign w:val="center"/>
          </w:tcPr>
          <w:p w14:paraId="4B126BE9"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3.0</w:t>
            </w:r>
          </w:p>
        </w:tc>
        <w:tc>
          <w:tcPr>
            <w:tcW w:w="351" w:type="pct"/>
            <w:tcBorders>
              <w:top w:val="nil"/>
              <w:left w:val="nil"/>
              <w:bottom w:val="single" w:sz="8" w:space="0" w:color="FFFFFF"/>
              <w:right w:val="single" w:sz="8" w:space="0" w:color="FFFFFF"/>
            </w:tcBorders>
            <w:shd w:val="clear" w:color="auto" w:fill="F2F2F2"/>
            <w:noWrap/>
            <w:vAlign w:val="center"/>
          </w:tcPr>
          <w:p w14:paraId="1CC2B6AB"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1.7</w:t>
            </w:r>
          </w:p>
        </w:tc>
        <w:tc>
          <w:tcPr>
            <w:tcW w:w="468" w:type="pct"/>
            <w:tcBorders>
              <w:top w:val="nil"/>
              <w:left w:val="nil"/>
              <w:bottom w:val="single" w:sz="8" w:space="0" w:color="FFFFFF"/>
              <w:right w:val="single" w:sz="8" w:space="0" w:color="FFFFFF"/>
            </w:tcBorders>
            <w:shd w:val="clear" w:color="auto" w:fill="F2F2F2"/>
            <w:vAlign w:val="center"/>
          </w:tcPr>
          <w:p w14:paraId="74E67C9C"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159</w:t>
            </w:r>
          </w:p>
        </w:tc>
        <w:tc>
          <w:tcPr>
            <w:tcW w:w="465" w:type="pct"/>
            <w:tcBorders>
              <w:top w:val="nil"/>
              <w:left w:val="nil"/>
              <w:bottom w:val="single" w:sz="8" w:space="0" w:color="FFFFFF"/>
              <w:right w:val="single" w:sz="8" w:space="0" w:color="FFFFFF"/>
            </w:tcBorders>
            <w:shd w:val="clear" w:color="auto" w:fill="F2F2F2"/>
            <w:vAlign w:val="center"/>
          </w:tcPr>
          <w:p w14:paraId="4947593E"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9.4</w:t>
            </w:r>
          </w:p>
        </w:tc>
        <w:tc>
          <w:tcPr>
            <w:tcW w:w="467" w:type="pct"/>
            <w:tcBorders>
              <w:top w:val="nil"/>
              <w:left w:val="nil"/>
              <w:bottom w:val="single" w:sz="8" w:space="0" w:color="FFFFFF"/>
              <w:right w:val="single" w:sz="8" w:space="0" w:color="FFFFFF"/>
            </w:tcBorders>
            <w:shd w:val="clear" w:color="auto" w:fill="F2F2F2"/>
            <w:vAlign w:val="center"/>
          </w:tcPr>
          <w:p w14:paraId="51378101"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1.6</w:t>
            </w:r>
          </w:p>
        </w:tc>
        <w:tc>
          <w:tcPr>
            <w:tcW w:w="467" w:type="pct"/>
            <w:tcBorders>
              <w:top w:val="nil"/>
              <w:left w:val="nil"/>
              <w:bottom w:val="single" w:sz="8" w:space="0" w:color="FFFFFF"/>
              <w:right w:val="single" w:sz="8" w:space="0" w:color="FFFFFF"/>
            </w:tcBorders>
            <w:shd w:val="clear" w:color="auto" w:fill="F2F2F2"/>
            <w:vAlign w:val="center"/>
          </w:tcPr>
          <w:p w14:paraId="595CE944"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476</w:t>
            </w:r>
          </w:p>
        </w:tc>
        <w:tc>
          <w:tcPr>
            <w:tcW w:w="465" w:type="pct"/>
            <w:tcBorders>
              <w:top w:val="nil"/>
              <w:left w:val="nil"/>
              <w:bottom w:val="single" w:sz="8" w:space="0" w:color="FFFFFF"/>
              <w:right w:val="single" w:sz="8" w:space="0" w:color="FFFFFF"/>
            </w:tcBorders>
            <w:shd w:val="clear" w:color="auto" w:fill="F2F2F2"/>
            <w:vAlign w:val="center"/>
          </w:tcPr>
          <w:p w14:paraId="5C6DB0BD"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12.4</w:t>
            </w:r>
          </w:p>
        </w:tc>
        <w:tc>
          <w:tcPr>
            <w:tcW w:w="465" w:type="pct"/>
            <w:tcBorders>
              <w:top w:val="nil"/>
              <w:left w:val="nil"/>
              <w:bottom w:val="single" w:sz="8" w:space="0" w:color="FFFFFF"/>
              <w:right w:val="single" w:sz="8" w:space="0" w:color="FFFFFF"/>
            </w:tcBorders>
            <w:shd w:val="clear" w:color="auto" w:fill="F2F2F2"/>
            <w:vAlign w:val="center"/>
          </w:tcPr>
          <w:p w14:paraId="77223718"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1.6</w:t>
            </w:r>
          </w:p>
        </w:tc>
        <w:tc>
          <w:tcPr>
            <w:tcW w:w="541" w:type="pct"/>
            <w:tcBorders>
              <w:top w:val="nil"/>
              <w:left w:val="nil"/>
              <w:bottom w:val="single" w:sz="8" w:space="0" w:color="FFFFFF"/>
              <w:right w:val="single" w:sz="8" w:space="0" w:color="FFFFFF"/>
            </w:tcBorders>
            <w:shd w:val="clear" w:color="auto" w:fill="F2F2F2"/>
            <w:vAlign w:val="center"/>
          </w:tcPr>
          <w:p w14:paraId="76A89E42" w14:textId="77777777" w:rsidR="00453E73" w:rsidRPr="00C96541" w:rsidRDefault="00453E73" w:rsidP="00A36A6E">
            <w:pPr>
              <w:spacing w:after="120"/>
              <w:contextualSpacing/>
              <w:jc w:val="center"/>
              <w:rPr>
                <w:rFonts w:asciiTheme="minorHAnsi" w:eastAsia="Times New Roman" w:hAnsiTheme="minorHAnsi" w:cstheme="minorHAnsi"/>
                <w:b/>
                <w:bCs/>
                <w:color w:val="000000"/>
                <w:sz w:val="18"/>
                <w:szCs w:val="18"/>
                <w:lang w:eastAsia="en-AU" w:bidi="en-AU"/>
              </w:rPr>
            </w:pPr>
            <w:r>
              <w:rPr>
                <w:rFonts w:asciiTheme="minorHAnsi" w:eastAsia="Times New Roman" w:hAnsiTheme="minorHAnsi" w:cstheme="minorHAnsi"/>
                <w:b/>
                <w:bCs/>
                <w:color w:val="000000"/>
                <w:sz w:val="18"/>
                <w:szCs w:val="18"/>
                <w:lang w:eastAsia="en-AU" w:bidi="en-AU"/>
              </w:rPr>
              <w:t>635</w:t>
            </w:r>
          </w:p>
        </w:tc>
      </w:tr>
    </w:tbl>
    <w:p w14:paraId="6071E207" w14:textId="77777777" w:rsidR="00453E73" w:rsidRPr="00DB4FAD" w:rsidRDefault="00453E73" w:rsidP="00453E73">
      <w:pPr>
        <w:spacing w:after="120" w:line="240" w:lineRule="auto"/>
        <w:rPr>
          <w:rFonts w:eastAsia="Times New Roman"/>
          <w:sz w:val="16"/>
          <w:szCs w:val="16"/>
        </w:rPr>
      </w:pPr>
      <w:r>
        <w:rPr>
          <w:rFonts w:eastAsia="Times New Roman"/>
          <w:sz w:val="16"/>
          <w:szCs w:val="16"/>
        </w:rPr>
        <w:br/>
        <w:t xml:space="preserve">Updated </w:t>
      </w:r>
      <w:r w:rsidRPr="00DB4FAD">
        <w:rPr>
          <w:rFonts w:eastAsia="Times New Roman"/>
          <w:sz w:val="16"/>
          <w:szCs w:val="16"/>
        </w:rPr>
        <w:t xml:space="preserve">Mineral Resources reported at a cut-off grade of 0.5 g/t gold and are constrained within a A$2,500/oz optimised pit shells </w:t>
      </w:r>
      <w:r>
        <w:rPr>
          <w:rFonts w:eastAsia="Times New Roman"/>
          <w:sz w:val="16"/>
          <w:szCs w:val="16"/>
        </w:rPr>
        <w:t>based on mining parameters and operating costs typical for Australian open pit extraction deposits of a similar scale and geology.</w:t>
      </w:r>
      <w:r w:rsidRPr="00DB4FAD">
        <w:rPr>
          <w:rFonts w:eastAsia="Times New Roman"/>
          <w:sz w:val="16"/>
          <w:szCs w:val="16"/>
        </w:rPr>
        <w:t xml:space="preserve"> </w:t>
      </w:r>
      <w:r>
        <w:rPr>
          <w:rFonts w:eastAsia="Times New Roman"/>
          <w:sz w:val="16"/>
          <w:szCs w:val="16"/>
        </w:rPr>
        <w:t xml:space="preserve">Mineral Resources for </w:t>
      </w:r>
      <w:r w:rsidRPr="00DB4FAD">
        <w:rPr>
          <w:rFonts w:eastAsia="Times New Roman"/>
          <w:sz w:val="16"/>
          <w:szCs w:val="16"/>
        </w:rPr>
        <w:t>Indomitable</w:t>
      </w:r>
      <w:r>
        <w:rPr>
          <w:rFonts w:eastAsia="Times New Roman"/>
          <w:sz w:val="16"/>
          <w:szCs w:val="16"/>
        </w:rPr>
        <w:t xml:space="preserve"> (reported at a cut-off grade of 0.3 g/t</w:t>
      </w:r>
      <w:r w:rsidRPr="00DB4FAD">
        <w:rPr>
          <w:rFonts w:eastAsia="Times New Roman"/>
          <w:sz w:val="16"/>
          <w:szCs w:val="16"/>
        </w:rPr>
        <w:t xml:space="preserve"> </w:t>
      </w:r>
      <w:r>
        <w:rPr>
          <w:rFonts w:eastAsia="Times New Roman"/>
          <w:sz w:val="16"/>
          <w:szCs w:val="16"/>
        </w:rPr>
        <w:t xml:space="preserve">gold) </w:t>
      </w:r>
      <w:r w:rsidRPr="00DB4FAD">
        <w:rPr>
          <w:rFonts w:eastAsia="Times New Roman"/>
          <w:sz w:val="16"/>
          <w:szCs w:val="16"/>
        </w:rPr>
        <w:t xml:space="preserve">and Ladybird deposits have not been updated.  Minor discrepancies may occur due to rounding of appropriate significant figures. </w:t>
      </w:r>
    </w:p>
    <w:p w14:paraId="0BF904F5" w14:textId="77777777" w:rsidR="00453E73" w:rsidRPr="004C62AA" w:rsidRDefault="00453E73" w:rsidP="00453E73">
      <w:pPr>
        <w:spacing w:after="120" w:line="240" w:lineRule="auto"/>
        <w:rPr>
          <w:rFonts w:eastAsia="Times New Roman"/>
          <w:sz w:val="16"/>
          <w:szCs w:val="16"/>
        </w:rPr>
      </w:pPr>
      <w:r w:rsidRPr="004C62AA">
        <w:rPr>
          <w:rFonts w:eastAsia="Times New Roman"/>
          <w:sz w:val="16"/>
          <w:szCs w:val="16"/>
        </w:rPr>
        <w:t>The references in this announcement to Mineral Resource estimates for the Sandstone Gold Project were reported in accordance with Listing Rule 5.8 in the following announcements:</w:t>
      </w:r>
    </w:p>
    <w:p w14:paraId="6B3FD962" w14:textId="77777777" w:rsidR="00453E73" w:rsidRPr="004C62AA" w:rsidRDefault="00453E73" w:rsidP="00453E73">
      <w:pPr>
        <w:spacing w:after="60"/>
        <w:rPr>
          <w:rFonts w:eastAsia="Times New Roman"/>
          <w:sz w:val="16"/>
          <w:szCs w:val="16"/>
        </w:rPr>
      </w:pPr>
      <w:r w:rsidRPr="004C62AA">
        <w:rPr>
          <w:rFonts w:eastAsia="Times New Roman"/>
          <w:sz w:val="16"/>
          <w:szCs w:val="16"/>
        </w:rPr>
        <w:t>(</w:t>
      </w:r>
      <w:r>
        <w:rPr>
          <w:rFonts w:eastAsia="Times New Roman"/>
          <w:sz w:val="16"/>
          <w:szCs w:val="16"/>
        </w:rPr>
        <w:t>a</w:t>
      </w:r>
      <w:r w:rsidRPr="004C62AA">
        <w:rPr>
          <w:rFonts w:eastAsia="Times New Roman"/>
          <w:sz w:val="16"/>
          <w:szCs w:val="16"/>
        </w:rPr>
        <w:t>): Indomitable &amp; Vanguard Camp: announcement titled: "</w:t>
      </w:r>
      <w:r w:rsidRPr="004C62AA">
        <w:rPr>
          <w:rFonts w:eastAsia="Times New Roman"/>
          <w:i/>
          <w:iCs/>
          <w:sz w:val="16"/>
          <w:szCs w:val="16"/>
        </w:rPr>
        <w:t>Maiden Gold Resource at Indomitable &amp; Vanguard Camps, Sandstone WA</w:t>
      </w:r>
      <w:r w:rsidRPr="004C62AA">
        <w:rPr>
          <w:rFonts w:eastAsia="Times New Roman"/>
          <w:sz w:val="16"/>
          <w:szCs w:val="16"/>
        </w:rPr>
        <w:t>" 25 Sep</w:t>
      </w:r>
      <w:r>
        <w:rPr>
          <w:rFonts w:eastAsia="Times New Roman"/>
          <w:sz w:val="16"/>
          <w:szCs w:val="16"/>
        </w:rPr>
        <w:t xml:space="preserve"> 2018</w:t>
      </w:r>
      <w:r w:rsidRPr="004C62AA">
        <w:rPr>
          <w:rFonts w:eastAsia="Times New Roman"/>
          <w:sz w:val="16"/>
          <w:szCs w:val="16"/>
        </w:rPr>
        <w:t xml:space="preserve">; and </w:t>
      </w:r>
    </w:p>
    <w:p w14:paraId="0B836F27" w14:textId="77777777" w:rsidR="00453E73" w:rsidRPr="004C62AA" w:rsidRDefault="00453E73" w:rsidP="00453E73">
      <w:pPr>
        <w:spacing w:after="60"/>
        <w:rPr>
          <w:rFonts w:eastAsia="Times New Roman"/>
          <w:i/>
          <w:iCs/>
          <w:sz w:val="16"/>
          <w:szCs w:val="16"/>
        </w:rPr>
      </w:pPr>
      <w:r w:rsidRPr="004C62AA">
        <w:rPr>
          <w:rFonts w:eastAsia="Times New Roman"/>
          <w:sz w:val="16"/>
          <w:szCs w:val="16"/>
        </w:rPr>
        <w:t>(</w:t>
      </w:r>
      <w:r>
        <w:rPr>
          <w:rFonts w:eastAsia="Times New Roman"/>
          <w:sz w:val="16"/>
          <w:szCs w:val="16"/>
        </w:rPr>
        <w:t>b</w:t>
      </w:r>
      <w:r w:rsidRPr="004C62AA">
        <w:rPr>
          <w:rFonts w:eastAsia="Times New Roman"/>
          <w:sz w:val="16"/>
          <w:szCs w:val="16"/>
        </w:rPr>
        <w:t>): Havilah &amp; Ladybird: announcement titled: “</w:t>
      </w:r>
      <w:r w:rsidRPr="004C62AA">
        <w:rPr>
          <w:rFonts w:eastAsia="Times New Roman"/>
          <w:i/>
          <w:iCs/>
          <w:sz w:val="16"/>
          <w:szCs w:val="16"/>
        </w:rPr>
        <w:t>Alto increases Total Mineral Resource Estimate to 290,000oz, Sandstone Gold Project</w:t>
      </w:r>
      <w:r w:rsidRPr="004C62AA">
        <w:rPr>
          <w:rFonts w:eastAsia="Times New Roman"/>
          <w:sz w:val="16"/>
          <w:szCs w:val="16"/>
        </w:rPr>
        <w:t>” 11 June 2019.</w:t>
      </w:r>
    </w:p>
    <w:p w14:paraId="4C4BEA08" w14:textId="77777777" w:rsidR="00453E73" w:rsidRDefault="00453E73" w:rsidP="00453E73">
      <w:pPr>
        <w:spacing w:after="120" w:line="240" w:lineRule="auto"/>
        <w:contextualSpacing/>
      </w:pPr>
      <w:r w:rsidRPr="004C62AA">
        <w:rPr>
          <w:rFonts w:eastAsia="Times New Roman"/>
          <w:sz w:val="16"/>
          <w:szCs w:val="16"/>
        </w:rPr>
        <w:t>The Company confirms that it is not aware of any new information or data that materially affects the information included in the previous market announcement noted above and that all material assumptions and technical parameters underpinning the Mineral Resource estimates in the previous market announcement continue to apply and have not materially changed.</w:t>
      </w:r>
    </w:p>
    <w:p w14:paraId="175E1DF5" w14:textId="77777777" w:rsidR="00453E73" w:rsidRDefault="00453E73" w:rsidP="00453E73">
      <w:pPr>
        <w:spacing w:after="120" w:line="259" w:lineRule="auto"/>
        <w:jc w:val="both"/>
        <w:rPr>
          <w:rFonts w:asciiTheme="minorHAnsi" w:hAnsiTheme="minorHAnsi" w:cstheme="minorHAnsi"/>
          <w:sz w:val="20"/>
          <w:szCs w:val="20"/>
          <w:highlight w:val="yellow"/>
        </w:rPr>
      </w:pPr>
    </w:p>
    <w:p w14:paraId="10B00CCF" w14:textId="77777777" w:rsidR="00453E73" w:rsidRDefault="00453E73" w:rsidP="00453E73">
      <w:pPr>
        <w:spacing w:after="160" w:line="259" w:lineRule="auto"/>
        <w:rPr>
          <w:rFonts w:asciiTheme="minorHAnsi" w:hAnsiTheme="minorHAnsi" w:cstheme="minorHAnsi"/>
          <w:sz w:val="18"/>
          <w:szCs w:val="18"/>
        </w:rPr>
      </w:pPr>
      <w:r>
        <w:rPr>
          <w:rFonts w:asciiTheme="minorHAnsi" w:hAnsiTheme="minorHAnsi" w:cstheme="minorHAnsi"/>
          <w:sz w:val="18"/>
          <w:szCs w:val="18"/>
        </w:rPr>
        <w:br w:type="page"/>
      </w:r>
    </w:p>
    <w:p w14:paraId="4CE81BA5" w14:textId="77C79927" w:rsidR="00453E73" w:rsidRDefault="00453E73" w:rsidP="00453E73">
      <w:pPr>
        <w:spacing w:after="120" w:line="259" w:lineRule="auto"/>
        <w:jc w:val="both"/>
        <w:rPr>
          <w:rFonts w:asciiTheme="minorHAnsi" w:hAnsiTheme="minorHAnsi" w:cstheme="minorHAnsi"/>
          <w:sz w:val="18"/>
          <w:szCs w:val="18"/>
        </w:rPr>
      </w:pPr>
    </w:p>
    <w:p w14:paraId="3F4B66DA" w14:textId="77777777" w:rsidR="000622A7" w:rsidRDefault="000622A7" w:rsidP="00453E73">
      <w:pPr>
        <w:spacing w:after="120" w:line="259" w:lineRule="auto"/>
        <w:jc w:val="both"/>
        <w:rPr>
          <w:rFonts w:asciiTheme="minorHAnsi" w:hAnsiTheme="minorHAnsi" w:cstheme="minorHAnsi"/>
          <w:sz w:val="18"/>
          <w:szCs w:val="18"/>
        </w:rPr>
      </w:pPr>
    </w:p>
    <w:p w14:paraId="7F79567D" w14:textId="77777777" w:rsidR="00453E73" w:rsidRPr="001F5D1B" w:rsidRDefault="00453E73" w:rsidP="00453E73">
      <w:pPr>
        <w:spacing w:after="120" w:line="259" w:lineRule="auto"/>
        <w:jc w:val="both"/>
        <w:rPr>
          <w:rFonts w:asciiTheme="minorHAnsi" w:hAnsiTheme="minorHAnsi" w:cstheme="minorHAnsi"/>
          <w:sz w:val="18"/>
          <w:szCs w:val="18"/>
        </w:rPr>
      </w:pPr>
      <w:r w:rsidRPr="001F5D1B">
        <w:rPr>
          <w:rFonts w:asciiTheme="minorHAnsi" w:hAnsiTheme="minorHAnsi" w:cstheme="minorHAnsi"/>
          <w:sz w:val="18"/>
          <w:szCs w:val="18"/>
        </w:rPr>
        <w:t xml:space="preserve">Table 3:  Mineral Resource Estimate March 2022 Grade and Tonnage by cut-off </w:t>
      </w:r>
      <w:r w:rsidRPr="004B7E3D">
        <w:rPr>
          <w:rFonts w:asciiTheme="minorHAnsi" w:hAnsiTheme="minorHAnsi" w:cstheme="minorHAnsi"/>
          <w:sz w:val="18"/>
          <w:szCs w:val="18"/>
        </w:rPr>
        <w:t xml:space="preserve">grade within the optimised pit </w:t>
      </w:r>
      <w:r w:rsidRPr="005F4C4F">
        <w:rPr>
          <w:rFonts w:asciiTheme="minorHAnsi" w:hAnsiTheme="minorHAnsi" w:cstheme="minorHAnsi"/>
          <w:sz w:val="18"/>
          <w:szCs w:val="18"/>
        </w:rPr>
        <w:t>(</w:t>
      </w:r>
      <w:r w:rsidRPr="005F4C4F">
        <w:rPr>
          <w:rFonts w:asciiTheme="minorHAnsi" w:hAnsiTheme="minorHAnsi" w:cstheme="minorHAnsi"/>
          <w:b/>
          <w:bCs/>
          <w:sz w:val="18"/>
          <w:szCs w:val="18"/>
        </w:rPr>
        <w:t>excl. Indomitable &amp; Ladybird)</w:t>
      </w:r>
      <w:r w:rsidRPr="004B7E3D">
        <w:rPr>
          <w:rFonts w:asciiTheme="minorHAnsi" w:hAnsiTheme="minorHAnsi" w:cstheme="minorHAnsi"/>
          <w:sz w:val="18"/>
          <w:szCs w:val="18"/>
          <w:vertAlign w:val="superscript"/>
        </w:rPr>
        <w:t>1</w:t>
      </w:r>
    </w:p>
    <w:tbl>
      <w:tblPr>
        <w:tblW w:w="5000" w:type="pct"/>
        <w:tblLook w:val="04A0" w:firstRow="1" w:lastRow="0" w:firstColumn="1" w:lastColumn="0" w:noHBand="0" w:noVBand="1"/>
      </w:tblPr>
      <w:tblGrid>
        <w:gridCol w:w="2711"/>
        <w:gridCol w:w="1594"/>
        <w:gridCol w:w="2109"/>
        <w:gridCol w:w="2592"/>
      </w:tblGrid>
      <w:tr w:rsidR="00453E73" w:rsidRPr="00C96541" w14:paraId="04938431" w14:textId="77777777" w:rsidTr="00A36A6E">
        <w:trPr>
          <w:trHeight w:val="375"/>
        </w:trPr>
        <w:tc>
          <w:tcPr>
            <w:tcW w:w="1505" w:type="pct"/>
            <w:tcBorders>
              <w:top w:val="single" w:sz="8" w:space="0" w:color="FFFFFF"/>
              <w:left w:val="single" w:sz="8" w:space="0" w:color="FFFFFF"/>
              <w:bottom w:val="nil"/>
              <w:right w:val="single" w:sz="8" w:space="0" w:color="FFFFFF"/>
            </w:tcBorders>
            <w:shd w:val="clear" w:color="auto" w:fill="1F3864" w:themeFill="accent1" w:themeFillShade="80"/>
            <w:noWrap/>
            <w:vAlign w:val="center"/>
            <w:hideMark/>
          </w:tcPr>
          <w:p w14:paraId="6CF7F989" w14:textId="77777777" w:rsidR="00453E73" w:rsidRPr="00C96541" w:rsidRDefault="00453E73" w:rsidP="00A36A6E">
            <w:pPr>
              <w:spacing w:after="120"/>
              <w:contextualSpacing/>
              <w:rPr>
                <w:rFonts w:asciiTheme="minorHAnsi" w:eastAsia="Times New Roman" w:hAnsiTheme="minorHAnsi" w:cstheme="minorHAnsi"/>
                <w:b/>
                <w:bCs/>
                <w:color w:val="FFFFFF" w:themeColor="background1"/>
                <w:sz w:val="18"/>
                <w:szCs w:val="18"/>
                <w:lang w:eastAsia="zh-CN"/>
              </w:rPr>
            </w:pPr>
            <w:r>
              <w:rPr>
                <w:rFonts w:asciiTheme="minorHAnsi" w:eastAsia="Times New Roman" w:hAnsiTheme="minorHAnsi" w:cstheme="minorHAnsi"/>
                <w:b/>
                <w:bCs/>
                <w:color w:val="FFFFFF" w:themeColor="background1"/>
                <w:sz w:val="18"/>
                <w:szCs w:val="18"/>
                <w:lang w:eastAsia="zh-CN"/>
              </w:rPr>
              <w:t>Cut-off grade (g/t gold)</w:t>
            </w:r>
          </w:p>
        </w:tc>
        <w:tc>
          <w:tcPr>
            <w:tcW w:w="885" w:type="pct"/>
            <w:tcBorders>
              <w:top w:val="single" w:sz="8" w:space="0" w:color="FFFFFF"/>
              <w:left w:val="nil"/>
              <w:bottom w:val="nil"/>
              <w:right w:val="single" w:sz="8" w:space="0" w:color="FFFFFF"/>
            </w:tcBorders>
            <w:shd w:val="clear" w:color="auto" w:fill="1F3864" w:themeFill="accent1" w:themeFillShade="80"/>
            <w:vAlign w:val="center"/>
            <w:hideMark/>
          </w:tcPr>
          <w:p w14:paraId="002CEDFE"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Tonnage</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w:t>
            </w:r>
            <w:r>
              <w:rPr>
                <w:rFonts w:asciiTheme="minorHAnsi" w:eastAsia="Times New Roman" w:hAnsiTheme="minorHAnsi" w:cstheme="minorHAnsi"/>
                <w:b/>
                <w:bCs/>
                <w:color w:val="FFFFFF" w:themeColor="background1"/>
                <w:sz w:val="18"/>
                <w:szCs w:val="18"/>
                <w:lang w:eastAsia="zh-CN"/>
              </w:rPr>
              <w:t>M</w:t>
            </w:r>
            <w:r w:rsidRPr="00C96541">
              <w:rPr>
                <w:rFonts w:asciiTheme="minorHAnsi" w:eastAsia="Times New Roman" w:hAnsiTheme="minorHAnsi" w:cstheme="minorHAnsi"/>
                <w:b/>
                <w:bCs/>
                <w:color w:val="FFFFFF" w:themeColor="background1"/>
                <w:sz w:val="18"/>
                <w:szCs w:val="18"/>
                <w:lang w:eastAsia="zh-CN"/>
              </w:rPr>
              <w:t>t)</w:t>
            </w:r>
          </w:p>
        </w:tc>
        <w:tc>
          <w:tcPr>
            <w:tcW w:w="1171" w:type="pct"/>
            <w:tcBorders>
              <w:top w:val="single" w:sz="8" w:space="0" w:color="FFFFFF"/>
              <w:left w:val="nil"/>
              <w:bottom w:val="nil"/>
              <w:right w:val="single" w:sz="8" w:space="0" w:color="FFFFFF"/>
            </w:tcBorders>
            <w:shd w:val="clear" w:color="auto" w:fill="1F3864" w:themeFill="accent1" w:themeFillShade="80"/>
            <w:vAlign w:val="center"/>
            <w:hideMark/>
          </w:tcPr>
          <w:p w14:paraId="56B2C811"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Grade</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 xml:space="preserve">(g/t </w:t>
            </w:r>
            <w:r>
              <w:rPr>
                <w:rFonts w:asciiTheme="minorHAnsi" w:eastAsia="Times New Roman" w:hAnsiTheme="minorHAnsi" w:cstheme="minorHAnsi"/>
                <w:b/>
                <w:bCs/>
                <w:color w:val="FFFFFF" w:themeColor="background1"/>
                <w:sz w:val="18"/>
                <w:szCs w:val="18"/>
                <w:lang w:eastAsia="zh-CN"/>
              </w:rPr>
              <w:t>gold</w:t>
            </w:r>
            <w:r w:rsidRPr="00C96541">
              <w:rPr>
                <w:rFonts w:asciiTheme="minorHAnsi" w:eastAsia="Times New Roman" w:hAnsiTheme="minorHAnsi" w:cstheme="minorHAnsi"/>
                <w:b/>
                <w:bCs/>
                <w:color w:val="FFFFFF" w:themeColor="background1"/>
                <w:sz w:val="18"/>
                <w:szCs w:val="18"/>
                <w:lang w:eastAsia="zh-CN"/>
              </w:rPr>
              <w:t>)</w:t>
            </w:r>
          </w:p>
        </w:tc>
        <w:tc>
          <w:tcPr>
            <w:tcW w:w="1439" w:type="pct"/>
            <w:tcBorders>
              <w:top w:val="single" w:sz="8" w:space="0" w:color="FFFFFF"/>
              <w:left w:val="nil"/>
              <w:bottom w:val="nil"/>
              <w:right w:val="single" w:sz="8" w:space="0" w:color="FFFFFF"/>
            </w:tcBorders>
            <w:shd w:val="clear" w:color="auto" w:fill="1F3864" w:themeFill="accent1" w:themeFillShade="80"/>
            <w:vAlign w:val="center"/>
            <w:hideMark/>
          </w:tcPr>
          <w:p w14:paraId="23B2271F" w14:textId="77777777" w:rsidR="00453E73" w:rsidRPr="00C96541" w:rsidRDefault="00453E73" w:rsidP="00A36A6E">
            <w:pPr>
              <w:spacing w:after="120"/>
              <w:contextualSpacing/>
              <w:jc w:val="center"/>
              <w:rPr>
                <w:rFonts w:asciiTheme="minorHAnsi" w:eastAsia="Times New Roman" w:hAnsiTheme="minorHAnsi" w:cstheme="minorHAnsi"/>
                <w:b/>
                <w:bCs/>
                <w:color w:val="FFFFFF" w:themeColor="background1"/>
                <w:sz w:val="18"/>
                <w:szCs w:val="18"/>
                <w:lang w:eastAsia="zh-CN"/>
              </w:rPr>
            </w:pPr>
            <w:r w:rsidRPr="00C96541">
              <w:rPr>
                <w:rFonts w:asciiTheme="minorHAnsi" w:eastAsia="Times New Roman" w:hAnsiTheme="minorHAnsi" w:cstheme="minorHAnsi"/>
                <w:b/>
                <w:bCs/>
                <w:color w:val="FFFFFF" w:themeColor="background1"/>
                <w:sz w:val="18"/>
                <w:szCs w:val="18"/>
                <w:lang w:eastAsia="zh-CN"/>
              </w:rPr>
              <w:t>Contained</w:t>
            </w:r>
            <w:r>
              <w:rPr>
                <w:rFonts w:asciiTheme="minorHAnsi" w:eastAsia="Times New Roman" w:hAnsiTheme="minorHAnsi" w:cstheme="minorHAnsi"/>
                <w:b/>
                <w:bCs/>
                <w:color w:val="FFFFFF" w:themeColor="background1"/>
                <w:sz w:val="18"/>
                <w:szCs w:val="18"/>
                <w:lang w:eastAsia="zh-CN"/>
              </w:rPr>
              <w:t xml:space="preserve"> </w:t>
            </w:r>
            <w:r w:rsidRPr="00C96541">
              <w:rPr>
                <w:rFonts w:asciiTheme="minorHAnsi" w:eastAsia="Times New Roman" w:hAnsiTheme="minorHAnsi" w:cstheme="minorHAnsi"/>
                <w:b/>
                <w:bCs/>
                <w:color w:val="FFFFFF" w:themeColor="background1"/>
                <w:sz w:val="18"/>
                <w:szCs w:val="18"/>
                <w:lang w:eastAsia="zh-CN"/>
              </w:rPr>
              <w:t>gold (</w:t>
            </w:r>
            <w:proofErr w:type="spellStart"/>
            <w:r>
              <w:rPr>
                <w:rFonts w:asciiTheme="minorHAnsi" w:eastAsia="Times New Roman" w:hAnsiTheme="minorHAnsi" w:cstheme="minorHAnsi"/>
                <w:b/>
                <w:bCs/>
                <w:color w:val="FFFFFF" w:themeColor="background1"/>
                <w:sz w:val="18"/>
                <w:szCs w:val="18"/>
                <w:lang w:eastAsia="zh-CN"/>
              </w:rPr>
              <w:t>k</w:t>
            </w:r>
            <w:r w:rsidRPr="00C96541">
              <w:rPr>
                <w:rFonts w:asciiTheme="minorHAnsi" w:eastAsia="Times New Roman" w:hAnsiTheme="minorHAnsi" w:cstheme="minorHAnsi"/>
                <w:b/>
                <w:bCs/>
                <w:color w:val="FFFFFF" w:themeColor="background1"/>
                <w:sz w:val="18"/>
                <w:szCs w:val="18"/>
                <w:lang w:eastAsia="zh-CN"/>
              </w:rPr>
              <w:t>oz</w:t>
            </w:r>
            <w:proofErr w:type="spellEnd"/>
            <w:r w:rsidRPr="00C96541">
              <w:rPr>
                <w:rFonts w:asciiTheme="minorHAnsi" w:eastAsia="Times New Roman" w:hAnsiTheme="minorHAnsi" w:cstheme="minorHAnsi"/>
                <w:b/>
                <w:bCs/>
                <w:color w:val="FFFFFF" w:themeColor="background1"/>
                <w:sz w:val="18"/>
                <w:szCs w:val="18"/>
                <w:lang w:eastAsia="zh-CN"/>
              </w:rPr>
              <w:t>)</w:t>
            </w:r>
          </w:p>
        </w:tc>
      </w:tr>
      <w:tr w:rsidR="00453E73" w:rsidRPr="00394AD4" w14:paraId="2887486B" w14:textId="77777777" w:rsidTr="00A36A6E">
        <w:trPr>
          <w:trHeight w:val="340"/>
        </w:trPr>
        <w:tc>
          <w:tcPr>
            <w:tcW w:w="1505" w:type="pct"/>
            <w:tcBorders>
              <w:top w:val="nil"/>
              <w:left w:val="single" w:sz="8" w:space="0" w:color="FFFFFF"/>
              <w:bottom w:val="nil"/>
              <w:right w:val="single" w:sz="8" w:space="0" w:color="FFFFFF"/>
            </w:tcBorders>
            <w:shd w:val="clear" w:color="auto" w:fill="auto"/>
            <w:vAlign w:val="center"/>
            <w:hideMark/>
          </w:tcPr>
          <w:p w14:paraId="2A42FA8F"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0.3</w:t>
            </w:r>
          </w:p>
        </w:tc>
        <w:tc>
          <w:tcPr>
            <w:tcW w:w="885" w:type="pct"/>
            <w:tcBorders>
              <w:top w:val="nil"/>
              <w:left w:val="nil"/>
              <w:bottom w:val="nil"/>
              <w:right w:val="single" w:sz="8" w:space="0" w:color="FFFFFF"/>
            </w:tcBorders>
            <w:shd w:val="clear" w:color="auto" w:fill="auto"/>
            <w:noWrap/>
            <w:vAlign w:val="center"/>
            <w:hideMark/>
          </w:tcPr>
          <w:p w14:paraId="6693009C"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10.8</w:t>
            </w:r>
          </w:p>
        </w:tc>
        <w:tc>
          <w:tcPr>
            <w:tcW w:w="1171" w:type="pct"/>
            <w:tcBorders>
              <w:top w:val="nil"/>
              <w:left w:val="nil"/>
              <w:bottom w:val="nil"/>
              <w:right w:val="single" w:sz="8" w:space="0" w:color="FFFFFF"/>
            </w:tcBorders>
            <w:shd w:val="clear" w:color="auto" w:fill="auto"/>
            <w:noWrap/>
            <w:vAlign w:val="center"/>
            <w:hideMark/>
          </w:tcPr>
          <w:p w14:paraId="308B5782"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sidRPr="00C96541">
              <w:rPr>
                <w:rFonts w:asciiTheme="minorHAnsi" w:eastAsia="Times New Roman" w:hAnsiTheme="minorHAnsi" w:cstheme="minorHAnsi"/>
                <w:color w:val="000000"/>
                <w:sz w:val="18"/>
                <w:szCs w:val="18"/>
                <w:lang w:eastAsia="zh-CN"/>
              </w:rPr>
              <w:t>1.</w:t>
            </w:r>
            <w:r>
              <w:rPr>
                <w:rFonts w:asciiTheme="minorHAnsi" w:eastAsia="Times New Roman" w:hAnsiTheme="minorHAnsi" w:cstheme="minorHAnsi"/>
                <w:color w:val="000000"/>
                <w:sz w:val="18"/>
                <w:szCs w:val="18"/>
                <w:lang w:eastAsia="zh-CN"/>
              </w:rPr>
              <w:t>6</w:t>
            </w:r>
          </w:p>
        </w:tc>
        <w:tc>
          <w:tcPr>
            <w:tcW w:w="1439" w:type="pct"/>
            <w:tcBorders>
              <w:top w:val="nil"/>
              <w:left w:val="nil"/>
              <w:bottom w:val="nil"/>
              <w:right w:val="single" w:sz="8" w:space="0" w:color="FFFFFF"/>
            </w:tcBorders>
            <w:shd w:val="clear" w:color="auto" w:fill="auto"/>
            <w:vAlign w:val="center"/>
            <w:hideMark/>
          </w:tcPr>
          <w:p w14:paraId="6CA8F336"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557</w:t>
            </w:r>
          </w:p>
        </w:tc>
      </w:tr>
      <w:tr w:rsidR="00453E73" w:rsidRPr="00394AD4" w14:paraId="019CD066" w14:textId="77777777" w:rsidTr="00A36A6E">
        <w:trPr>
          <w:trHeight w:val="340"/>
        </w:trPr>
        <w:tc>
          <w:tcPr>
            <w:tcW w:w="1505" w:type="pct"/>
            <w:tcBorders>
              <w:top w:val="nil"/>
              <w:left w:val="single" w:sz="8" w:space="0" w:color="FFFFFF"/>
              <w:bottom w:val="nil"/>
              <w:right w:val="single" w:sz="8" w:space="0" w:color="FFFFFF"/>
            </w:tcBorders>
            <w:shd w:val="clear" w:color="auto" w:fill="F2F2F2" w:themeFill="background1" w:themeFillShade="F2"/>
            <w:vAlign w:val="center"/>
          </w:tcPr>
          <w:p w14:paraId="68F1F6A1" w14:textId="77777777" w:rsidR="00453E73"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0.5</w:t>
            </w:r>
          </w:p>
        </w:tc>
        <w:tc>
          <w:tcPr>
            <w:tcW w:w="885" w:type="pct"/>
            <w:tcBorders>
              <w:top w:val="nil"/>
              <w:left w:val="nil"/>
              <w:bottom w:val="nil"/>
              <w:right w:val="single" w:sz="8" w:space="0" w:color="FFFFFF"/>
            </w:tcBorders>
            <w:shd w:val="clear" w:color="auto" w:fill="F2F2F2" w:themeFill="background1" w:themeFillShade="F2"/>
            <w:noWrap/>
            <w:vAlign w:val="center"/>
          </w:tcPr>
          <w:p w14:paraId="258F5C73"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10.5</w:t>
            </w:r>
          </w:p>
        </w:tc>
        <w:tc>
          <w:tcPr>
            <w:tcW w:w="1171" w:type="pct"/>
            <w:tcBorders>
              <w:top w:val="nil"/>
              <w:left w:val="nil"/>
              <w:bottom w:val="nil"/>
              <w:right w:val="single" w:sz="8" w:space="0" w:color="FFFFFF"/>
            </w:tcBorders>
            <w:shd w:val="clear" w:color="auto" w:fill="F2F2F2" w:themeFill="background1" w:themeFillShade="F2"/>
            <w:noWrap/>
            <w:vAlign w:val="center"/>
          </w:tcPr>
          <w:p w14:paraId="07DA7914"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1.6</w:t>
            </w:r>
          </w:p>
        </w:tc>
        <w:tc>
          <w:tcPr>
            <w:tcW w:w="1439" w:type="pct"/>
            <w:tcBorders>
              <w:top w:val="nil"/>
              <w:left w:val="nil"/>
              <w:bottom w:val="nil"/>
              <w:right w:val="single" w:sz="8" w:space="0" w:color="FFFFFF"/>
            </w:tcBorders>
            <w:shd w:val="clear" w:color="auto" w:fill="F2F2F2" w:themeFill="background1" w:themeFillShade="F2"/>
            <w:vAlign w:val="center"/>
          </w:tcPr>
          <w:p w14:paraId="6363AAD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553</w:t>
            </w:r>
          </w:p>
        </w:tc>
      </w:tr>
      <w:tr w:rsidR="00453E73" w:rsidRPr="00394AD4" w14:paraId="6183AD2F" w14:textId="77777777" w:rsidTr="00A36A6E">
        <w:trPr>
          <w:trHeight w:val="340"/>
        </w:trPr>
        <w:tc>
          <w:tcPr>
            <w:tcW w:w="1505" w:type="pct"/>
            <w:tcBorders>
              <w:top w:val="nil"/>
              <w:left w:val="single" w:sz="8" w:space="0" w:color="FFFFFF"/>
              <w:bottom w:val="nil"/>
              <w:right w:val="single" w:sz="8" w:space="0" w:color="FFFFFF"/>
            </w:tcBorders>
            <w:shd w:val="clear" w:color="auto" w:fill="auto"/>
            <w:vAlign w:val="center"/>
          </w:tcPr>
          <w:p w14:paraId="77F37C91" w14:textId="77777777" w:rsidR="00453E73"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0.8</w:t>
            </w:r>
          </w:p>
        </w:tc>
        <w:tc>
          <w:tcPr>
            <w:tcW w:w="885" w:type="pct"/>
            <w:tcBorders>
              <w:top w:val="nil"/>
              <w:left w:val="nil"/>
              <w:bottom w:val="nil"/>
              <w:right w:val="single" w:sz="8" w:space="0" w:color="FFFFFF"/>
            </w:tcBorders>
            <w:shd w:val="clear" w:color="auto" w:fill="auto"/>
            <w:noWrap/>
            <w:vAlign w:val="center"/>
          </w:tcPr>
          <w:p w14:paraId="52FECAA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8.5</w:t>
            </w:r>
          </w:p>
        </w:tc>
        <w:tc>
          <w:tcPr>
            <w:tcW w:w="1171" w:type="pct"/>
            <w:tcBorders>
              <w:top w:val="nil"/>
              <w:left w:val="nil"/>
              <w:bottom w:val="nil"/>
              <w:right w:val="single" w:sz="8" w:space="0" w:color="FFFFFF"/>
            </w:tcBorders>
            <w:shd w:val="clear" w:color="auto" w:fill="auto"/>
            <w:noWrap/>
            <w:vAlign w:val="center"/>
          </w:tcPr>
          <w:p w14:paraId="13B03C90"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1.9</w:t>
            </w:r>
          </w:p>
        </w:tc>
        <w:tc>
          <w:tcPr>
            <w:tcW w:w="1439" w:type="pct"/>
            <w:tcBorders>
              <w:top w:val="nil"/>
              <w:left w:val="nil"/>
              <w:bottom w:val="nil"/>
              <w:right w:val="single" w:sz="8" w:space="0" w:color="FFFFFF"/>
            </w:tcBorders>
            <w:shd w:val="clear" w:color="auto" w:fill="auto"/>
            <w:vAlign w:val="center"/>
          </w:tcPr>
          <w:p w14:paraId="6B100B05" w14:textId="77777777" w:rsidR="00453E73" w:rsidRPr="00C96541" w:rsidRDefault="00453E73" w:rsidP="00A36A6E">
            <w:pPr>
              <w:spacing w:after="120"/>
              <w:contextualSpacing/>
              <w:jc w:val="center"/>
              <w:rPr>
                <w:rFonts w:asciiTheme="minorHAnsi" w:eastAsia="Times New Roman" w:hAnsiTheme="minorHAnsi" w:cstheme="minorHAnsi"/>
                <w:color w:val="000000"/>
                <w:sz w:val="18"/>
                <w:szCs w:val="18"/>
                <w:lang w:eastAsia="zh-CN"/>
              </w:rPr>
            </w:pPr>
            <w:r>
              <w:rPr>
                <w:rFonts w:asciiTheme="minorHAnsi" w:eastAsia="Times New Roman" w:hAnsiTheme="minorHAnsi" w:cstheme="minorHAnsi"/>
                <w:color w:val="000000"/>
                <w:sz w:val="18"/>
                <w:szCs w:val="18"/>
                <w:lang w:eastAsia="zh-CN"/>
              </w:rPr>
              <w:t>510</w:t>
            </w:r>
          </w:p>
        </w:tc>
      </w:tr>
    </w:tbl>
    <w:p w14:paraId="1397D359" w14:textId="77777777" w:rsidR="00453E73" w:rsidRPr="001A3211" w:rsidRDefault="00453E73" w:rsidP="00453E73">
      <w:pPr>
        <w:spacing w:after="120" w:line="259" w:lineRule="auto"/>
        <w:jc w:val="both"/>
        <w:rPr>
          <w:rFonts w:asciiTheme="minorHAnsi" w:hAnsiTheme="minorHAnsi" w:cstheme="minorHAnsi"/>
          <w:sz w:val="16"/>
          <w:szCs w:val="16"/>
        </w:rPr>
      </w:pPr>
      <w:r w:rsidRPr="001A3211">
        <w:rPr>
          <w:rFonts w:asciiTheme="minorHAnsi" w:hAnsiTheme="minorHAnsi" w:cstheme="minorHAnsi"/>
          <w:sz w:val="16"/>
          <w:szCs w:val="16"/>
        </w:rPr>
        <w:t>All tonnages are reported in dry metric tonnes.  Minor discrepancies may occur due to rounding of appropriate significant figures.</w:t>
      </w:r>
    </w:p>
    <w:p w14:paraId="4293A6B1" w14:textId="77777777" w:rsidR="00453E73" w:rsidRPr="001F5D1B" w:rsidRDefault="00453E73" w:rsidP="00453E73">
      <w:pPr>
        <w:tabs>
          <w:tab w:val="left" w:pos="284"/>
        </w:tabs>
        <w:spacing w:after="120" w:line="259" w:lineRule="auto"/>
        <w:jc w:val="both"/>
        <w:rPr>
          <w:rFonts w:asciiTheme="minorHAnsi" w:hAnsiTheme="minorHAnsi" w:cstheme="minorHAnsi"/>
          <w:sz w:val="16"/>
          <w:szCs w:val="16"/>
        </w:rPr>
      </w:pPr>
      <w:r>
        <w:rPr>
          <w:rFonts w:asciiTheme="minorHAnsi" w:hAnsiTheme="minorHAnsi" w:cstheme="minorHAnsi"/>
          <w:sz w:val="16"/>
          <w:szCs w:val="16"/>
        </w:rPr>
        <w:t>1</w:t>
      </w:r>
      <w:r>
        <w:rPr>
          <w:rFonts w:asciiTheme="minorHAnsi" w:hAnsiTheme="minorHAnsi" w:cstheme="minorHAnsi"/>
          <w:sz w:val="16"/>
          <w:szCs w:val="16"/>
        </w:rPr>
        <w:tab/>
      </w:r>
      <w:r w:rsidRPr="001F5D1B">
        <w:rPr>
          <w:rFonts w:asciiTheme="minorHAnsi" w:hAnsiTheme="minorHAnsi" w:cstheme="minorHAnsi"/>
          <w:sz w:val="16"/>
          <w:szCs w:val="16"/>
        </w:rPr>
        <w:t xml:space="preserve">Table 3 shows the total grade and tonnage by cut-off grade for the </w:t>
      </w:r>
      <w:r>
        <w:rPr>
          <w:rFonts w:asciiTheme="minorHAnsi" w:hAnsiTheme="minorHAnsi" w:cstheme="minorHAnsi"/>
          <w:sz w:val="16"/>
          <w:szCs w:val="16"/>
        </w:rPr>
        <w:t>updated</w:t>
      </w:r>
      <w:r w:rsidRPr="001F5D1B">
        <w:rPr>
          <w:rFonts w:asciiTheme="minorHAnsi" w:hAnsiTheme="minorHAnsi" w:cstheme="minorHAnsi"/>
          <w:sz w:val="16"/>
          <w:szCs w:val="16"/>
        </w:rPr>
        <w:t xml:space="preserve"> deposits in this release only.  The estimates for Indomitable Camp and Ladybird are excluded from this table as grade tonnage cut-off grades were not included in the release for these mineral resource estimates</w:t>
      </w:r>
    </w:p>
    <w:p w14:paraId="356EB855" w14:textId="77777777" w:rsidR="00453E73" w:rsidRPr="0063652C" w:rsidRDefault="00453E73" w:rsidP="00453E73">
      <w:pPr>
        <w:spacing w:after="120" w:line="259" w:lineRule="auto"/>
        <w:jc w:val="both"/>
        <w:rPr>
          <w:rFonts w:asciiTheme="minorHAnsi" w:hAnsiTheme="minorHAnsi" w:cstheme="minorHAnsi"/>
          <w:sz w:val="20"/>
          <w:szCs w:val="20"/>
          <w:highlight w:val="yellow"/>
        </w:rPr>
      </w:pPr>
    </w:p>
    <w:p w14:paraId="73A25B29" w14:textId="77777777" w:rsidR="00453E73" w:rsidRDefault="00453E73" w:rsidP="00453E73">
      <w:pPr>
        <w:spacing w:after="120" w:line="259" w:lineRule="auto"/>
        <w:jc w:val="center"/>
        <w:rPr>
          <w:rFonts w:asciiTheme="minorHAnsi" w:hAnsiTheme="minorHAnsi" w:cstheme="minorHAnsi"/>
          <w:b/>
          <w:bCs/>
          <w:color w:val="1F3864" w:themeColor="accent1" w:themeShade="80"/>
          <w:sz w:val="20"/>
          <w:szCs w:val="20"/>
        </w:rPr>
      </w:pPr>
      <w:r w:rsidRPr="009B1546">
        <w:rPr>
          <w:rFonts w:asciiTheme="minorHAnsi" w:hAnsiTheme="minorHAnsi" w:cstheme="minorHAnsi"/>
          <w:noProof/>
          <w:sz w:val="20"/>
          <w:szCs w:val="20"/>
        </w:rPr>
        <w:drawing>
          <wp:inline distT="0" distB="0" distL="0" distR="0" wp14:anchorId="6025AEF8" wp14:editId="20B64746">
            <wp:extent cx="4971105" cy="2992170"/>
            <wp:effectExtent l="0" t="0" r="1270" b="0"/>
            <wp:docPr id="10" name="Picture 10"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line ch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6626" cy="3019570"/>
                    </a:xfrm>
                    <a:prstGeom prst="rect">
                      <a:avLst/>
                    </a:prstGeom>
                    <a:noFill/>
                  </pic:spPr>
                </pic:pic>
              </a:graphicData>
            </a:graphic>
          </wp:inline>
        </w:drawing>
      </w:r>
    </w:p>
    <w:p w14:paraId="36901C45" w14:textId="77777777" w:rsidR="00453E73" w:rsidRDefault="00453E73" w:rsidP="00453E73">
      <w:pPr>
        <w:spacing w:after="0" w:line="259" w:lineRule="auto"/>
        <w:jc w:val="center"/>
        <w:rPr>
          <w:b/>
          <w:color w:val="000000" w:themeColor="text1"/>
          <w:sz w:val="18"/>
          <w:szCs w:val="18"/>
        </w:rPr>
      </w:pPr>
      <w:r w:rsidRPr="007107CF">
        <w:rPr>
          <w:b/>
          <w:color w:val="000000" w:themeColor="text1"/>
          <w:sz w:val="18"/>
          <w:szCs w:val="18"/>
        </w:rPr>
        <w:t xml:space="preserve">Figure </w:t>
      </w:r>
      <w:r>
        <w:rPr>
          <w:b/>
          <w:color w:val="000000" w:themeColor="text1"/>
          <w:sz w:val="18"/>
          <w:szCs w:val="18"/>
        </w:rPr>
        <w:t>1</w:t>
      </w:r>
      <w:r w:rsidRPr="007107CF">
        <w:rPr>
          <w:b/>
          <w:color w:val="000000" w:themeColor="text1"/>
          <w:sz w:val="18"/>
          <w:szCs w:val="18"/>
        </w:rPr>
        <w:t xml:space="preserve">:  </w:t>
      </w:r>
      <w:r>
        <w:rPr>
          <w:b/>
          <w:color w:val="000000" w:themeColor="text1"/>
          <w:sz w:val="18"/>
          <w:szCs w:val="18"/>
        </w:rPr>
        <w:t xml:space="preserve">Sandstone Gold Project – grade tonnage curve </w:t>
      </w:r>
      <w:r w:rsidRPr="005F4C4F">
        <w:rPr>
          <w:rFonts w:asciiTheme="minorHAnsi" w:hAnsiTheme="minorHAnsi" w:cstheme="minorHAnsi"/>
          <w:b/>
          <w:bCs/>
          <w:sz w:val="18"/>
          <w:szCs w:val="18"/>
        </w:rPr>
        <w:t>(</w:t>
      </w:r>
      <w:r w:rsidRPr="007A2EA3">
        <w:rPr>
          <w:rFonts w:asciiTheme="minorHAnsi" w:hAnsiTheme="minorHAnsi" w:cstheme="minorHAnsi"/>
          <w:b/>
          <w:bCs/>
          <w:sz w:val="18"/>
          <w:szCs w:val="18"/>
        </w:rPr>
        <w:t>excl. Indomitable &amp; Ladybird)</w:t>
      </w:r>
      <w:r w:rsidRPr="005F4C4F">
        <w:rPr>
          <w:rFonts w:asciiTheme="minorHAnsi" w:hAnsiTheme="minorHAnsi" w:cstheme="minorHAnsi"/>
          <w:b/>
          <w:bCs/>
          <w:sz w:val="18"/>
          <w:szCs w:val="18"/>
          <w:vertAlign w:val="superscript"/>
        </w:rPr>
        <w:t>1</w:t>
      </w:r>
    </w:p>
    <w:p w14:paraId="51995DF4" w14:textId="77777777" w:rsidR="00453E73" w:rsidRDefault="00453E73" w:rsidP="00453E73">
      <w:pPr>
        <w:spacing w:after="120" w:line="259" w:lineRule="auto"/>
        <w:jc w:val="center"/>
        <w:rPr>
          <w:rFonts w:asciiTheme="minorHAnsi" w:hAnsiTheme="minorHAnsi" w:cstheme="minorHAnsi"/>
          <w:b/>
          <w:bCs/>
          <w:color w:val="1F3864" w:themeColor="accent1" w:themeShade="80"/>
          <w:sz w:val="20"/>
          <w:szCs w:val="20"/>
        </w:rPr>
      </w:pPr>
    </w:p>
    <w:p w14:paraId="03B64026" w14:textId="77777777" w:rsidR="00453E73" w:rsidRDefault="00453E73" w:rsidP="00453E73">
      <w:pPr>
        <w:spacing w:after="120" w:line="259" w:lineRule="auto"/>
        <w:jc w:val="center"/>
        <w:rPr>
          <w:rFonts w:asciiTheme="minorHAnsi" w:hAnsiTheme="minorHAnsi" w:cstheme="minorHAnsi"/>
          <w:b/>
          <w:bCs/>
          <w:color w:val="1F3864" w:themeColor="accent1" w:themeShade="80"/>
          <w:sz w:val="20"/>
          <w:szCs w:val="20"/>
        </w:rPr>
      </w:pPr>
      <w:r>
        <w:rPr>
          <w:rFonts w:asciiTheme="minorHAnsi" w:hAnsiTheme="minorHAnsi" w:cstheme="minorHAnsi"/>
          <w:b/>
          <w:bCs/>
          <w:noProof/>
          <w:color w:val="1F3864" w:themeColor="accent1" w:themeShade="80"/>
          <w:sz w:val="20"/>
          <w:szCs w:val="20"/>
        </w:rPr>
        <w:drawing>
          <wp:inline distT="0" distB="0" distL="0" distR="0" wp14:anchorId="0BD9177C" wp14:editId="08EAF1D2">
            <wp:extent cx="4858145" cy="2763520"/>
            <wp:effectExtent l="0" t="0" r="0" b="0"/>
            <wp:docPr id="31" name="Picture 31"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hart, bar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83261" cy="2777807"/>
                    </a:xfrm>
                    <a:prstGeom prst="rect">
                      <a:avLst/>
                    </a:prstGeom>
                    <a:noFill/>
                  </pic:spPr>
                </pic:pic>
              </a:graphicData>
            </a:graphic>
          </wp:inline>
        </w:drawing>
      </w:r>
    </w:p>
    <w:p w14:paraId="39690E98" w14:textId="01C79181" w:rsidR="00A0107C" w:rsidRDefault="00453E73" w:rsidP="00B924DB">
      <w:pPr>
        <w:ind w:left="720" w:firstLine="720"/>
      </w:pPr>
      <w:r w:rsidRPr="007107CF">
        <w:rPr>
          <w:b/>
          <w:color w:val="000000" w:themeColor="text1"/>
          <w:sz w:val="18"/>
          <w:szCs w:val="18"/>
        </w:rPr>
        <w:t xml:space="preserve">Figure </w:t>
      </w:r>
      <w:r>
        <w:rPr>
          <w:b/>
          <w:color w:val="000000" w:themeColor="text1"/>
          <w:sz w:val="18"/>
          <w:szCs w:val="18"/>
        </w:rPr>
        <w:t>2</w:t>
      </w:r>
      <w:r w:rsidRPr="007107CF">
        <w:rPr>
          <w:b/>
          <w:color w:val="000000" w:themeColor="text1"/>
          <w:sz w:val="18"/>
          <w:szCs w:val="18"/>
        </w:rPr>
        <w:t xml:space="preserve">:  </w:t>
      </w:r>
      <w:r>
        <w:rPr>
          <w:b/>
          <w:color w:val="000000" w:themeColor="text1"/>
          <w:sz w:val="18"/>
          <w:szCs w:val="18"/>
        </w:rPr>
        <w:t>Sandstone Gold Project – Total ounces per vertical metre</w:t>
      </w:r>
      <w:r>
        <w:rPr>
          <w:b/>
          <w:sz w:val="20"/>
          <w:szCs w:val="20"/>
        </w:rPr>
        <w:t>.</w:t>
      </w:r>
    </w:p>
    <w:sectPr w:rsidR="00A0107C" w:rsidSect="00453E73">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E73"/>
    <w:rsid w:val="000622A7"/>
    <w:rsid w:val="00453E73"/>
    <w:rsid w:val="00511B63"/>
    <w:rsid w:val="00571731"/>
    <w:rsid w:val="00A0107C"/>
    <w:rsid w:val="00B0213F"/>
    <w:rsid w:val="00B92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CC53"/>
  <w15:chartTrackingRefBased/>
  <w15:docId w15:val="{FF793B74-FABD-4CB3-A884-6E39742AE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E7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E431B1CC438A4AAAFDF1D421DF36CF" ma:contentTypeVersion="12" ma:contentTypeDescription="Create a new document." ma:contentTypeScope="" ma:versionID="40180da944bc1037e20e6c231a0cbba6">
  <xsd:schema xmlns:xsd="http://www.w3.org/2001/XMLSchema" xmlns:xs="http://www.w3.org/2001/XMLSchema" xmlns:p="http://schemas.microsoft.com/office/2006/metadata/properties" xmlns:ns2="5db13170-7d7b-40dd-8834-7e4feb654e23" xmlns:ns3="e33e0cb7-0f34-478d-9008-17ea444d1956" targetNamespace="http://schemas.microsoft.com/office/2006/metadata/properties" ma:root="true" ma:fieldsID="efcde3e76caa7db81f70859f35c3b87c" ns2:_="" ns3:_="">
    <xsd:import namespace="5db13170-7d7b-40dd-8834-7e4feb654e23"/>
    <xsd:import namespace="e33e0cb7-0f34-478d-9008-17ea444d19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13170-7d7b-40dd-8834-7e4feb654e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e0cb7-0f34-478d-9008-17ea444d195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B79076-8E56-432A-AE30-FD6D5B2D9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E9B0C6-AC3A-43C7-8930-75E2CEF98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13170-7d7b-40dd-8834-7e4feb654e23"/>
    <ds:schemaRef ds:uri="e33e0cb7-0f34-478d-9008-17ea444d19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BA8343-D96C-4C6B-8BE5-BA87CA0A9E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486</Words>
  <Characters>2775</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Graham</dc:creator>
  <cp:keywords/>
  <dc:description/>
  <cp:lastModifiedBy>Philippa Graham</cp:lastModifiedBy>
  <cp:revision>6</cp:revision>
  <dcterms:created xsi:type="dcterms:W3CDTF">2022-03-24T03:56:00Z</dcterms:created>
  <dcterms:modified xsi:type="dcterms:W3CDTF">2022-03-24T07:09:00Z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0x010100D3E431B1CC438A4AAAFDF1D421DF36CF</vt:lpwstr>
  </property>
</Properties>
</file>